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7b4b85c5a82152c1284d87e4bcacb709da3f19f"/>
    <w:p>
      <w:pPr>
        <w:pStyle w:val="Heading1"/>
      </w:pPr>
      <w:r>
        <w:t xml:space="preserve">Desenvolvimento educacional em microrregião do Semiárido cearense: o padrão associativo entre desempenho escolar e renda no Sertão de Cratéus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Marcelo Claro Laranjeira — ORCID: https://orcid.org/0000-0001-8996-2887</w:t>
      </w:r>
    </w:p>
    <w:p>
      <w:r>
        <w:pict>
          <v:rect style="width:0;height:1.5pt" o:hralign="center" o:hrstd="t" o:hr="t"/>
        </w:pict>
      </w:r>
    </w:p>
    <w:bookmarkStart w:id="9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Este estudo testa, na microrregião do Sertão de Cratéus (Ceará, IBGE 23018; nove municípios), a relação entre desempenho escolar (IDEB) e renda municipal em duas dimensões complementares: entre unidades (níveis) e dentro das unidades ao longo do tempo. Com dados oficiais e auditáveis (INEP, edições 2005–2025; IBGE, PIB municipal 2010–2021 e Censo Demográfico 2022) e protocolo de validação robusto (bootstrap por cluster, primeiras diferenças, efeitos fixos de município e ano com erros clusterizados, validação cruzada leave-one-out por município, MDES e TOST), encontramos: (i) correlação transversal moderada-forte entre IDEB e log do PIB per capita defasado (r = 0,49; IC95% [0,34; 0,64]), replicada fora da amostra em 9/9 municípios (LOOCV mediana r = 0,62); (ii) associação dentro da unidade nula (primeiras diferenças r = −0,05, p = 0,61) e coeficiente de efeitos fixos não significativo mesmo com erros clusterizados por município (β = 2,61; IC95% cluster [−1,51; 6,73]; p = 0,18); (iii) MDES de 5,71 pontos (cluster) e TOST não significativo, indicando não-detecção (não equivalência) dado o n municipal; e (iv) evidência de que a premissa de estagnação do IDEB não se sustenta com os dados mais recentes: os nove municípios atingiram a meta pactuada para 2021 e apresentaram ganho médio de 5,93 pontos (anos iniciais, 2007–2025), sem associação estatisticamente discernível entre ganho educacional e renda do responsável (r = −0,14; p = 0,73). Conclui-se que, no Sertão de Cratéus, a associação renda–desempenho é transversal (entre municípios) e não temporal (dentro dos municípios), enquanto o crescimento educacional observado não acompanha variações de renda municipal — consistente com a literatura sobre políticas educacionais do Ceará, embora sem pretensão causal.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IDEB; renda; microrregião; Ceará; painel municipal; validação cruzada; efeitos fixos.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study tests, in the Sertão de Cratéus microregion (Ceará state, Brazil; IBGE 23018; nine municipalities), the relationship between school performance (IDEB) and municipal income in two complementary dimensions: across units (levels) and within units over time. Using official auditable data (INEP, 2005–2025 editions; IBGE, municipal GDP 2010–2021 and 2022 Demographic Census) and a robust validation protocol (cluster bootstrap, first differences, municipality-and-year fixed effects with clustered errors, leave-one-out cross-validation by municipality, MDES and TOST), we find: (i) moderate-to-strong cross-sectional correlation between IDEB and lagged log GDP per capita (r = 0.49; 95% CI [0.34; 0.64]), replicated out-of-sample in 9/9 municipalities (LOOCV median r = 0.62); (ii) null within-unit association (first differences r = −0.05, p = 0.61) and nonsignificant fixed-effects coefficient even with municipality-clustered errors (β = 2.61; 95% clustered CI [−1.51, 6.73]; p = 0.18); (iii) MDES of 5.71 points (clustered) and nonsignificant TOST, indicating non-detection (not equivalence) given the municipal sample size; and (iv) evidence that the premise of IDEB stagnation does not hold in the most recent data: all nine municipalities met the pactuated target for 2021 and showed a mean gain of 5.93 points (early grades, 2007–2025), with no statistically discernible association between educational gain and household head income (r = −0.14; p = 0.73). In Sertão de Cratéus, the income–performance association is cross-sectional (between municipalities) rather than temporal (within municipalities), while observed educational growth does not track municipal income variation — consistent with the literature on Ceará’s education policies, with no causal claims.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IDEB; income; microregion; Ceará; municipal panel; cross-validation; fixed effects.</w:t>
      </w:r>
    </w:p>
    <w:p>
      <w:r>
        <w:pict>
          <v:rect style="width:0;height:1.5pt" o:hralign="center" o:hrstd="t" o:hr="t"/>
        </w:pict>
      </w:r>
    </w:p>
    <w:bookmarkEnd w:id="10"/>
    <w:bookmarkStart w:id="11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A relação entre renda e desempenho educacional é um dos temas mais persistentes da pesquisa em educação comparada. Hanushek e Woessmann (2015) demonstraram que o</w:t>
      </w:r>
      <w:r>
        <w:t xml:space="preserve"> </w:t>
      </w:r>
      <w:r>
        <w:t xml:space="preserve">“capital de conhecimento”</w:t>
      </w:r>
      <w:r>
        <w:t xml:space="preserve"> </w:t>
      </w:r>
      <w:r>
        <w:t xml:space="preserve">de uma nação — medido por habilidades cognitivas, e não apenas por anos de escolaridade — associa-se fortemente ao crescimento econômico de longo prazo. No Brasil, análises de avaliação em larga escala mostram desigualdades substanciais associadas ao nível socioeconômico (Cito; Marôco, 2026), e estudos multiníveis documentam o impacto associativo da pobreza sobre o IDEB (Duarte, 2013; Andrews; Vries, 2012).</w:t>
      </w:r>
    </w:p>
    <w:p>
      <w:pPr>
        <w:pStyle w:val="BodyText"/>
      </w:pPr>
      <w:r>
        <w:t xml:space="preserve">Uma distinção analítica frequentemente negligenciada separa dois tipos de associação entre renda e desempenho escolar: a</w:t>
      </w:r>
      <w:r>
        <w:t xml:space="preserve"> </w:t>
      </w:r>
      <w:r>
        <w:rPr>
          <w:b/>
          <w:bCs/>
        </w:rPr>
        <w:t xml:space="preserve">transversal</w:t>
      </w:r>
      <w:r>
        <w:t xml:space="preserve"> </w:t>
      </w:r>
      <w:r>
        <w:t xml:space="preserve">(entre unidades: municípios mais ricos tendem a ter IDEB mais alto) e a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(dentro de uma mesma unidade: quando a renda de um município cresce, seu IDEB cresce?). A primeira é amplamente documentada; a segunda é mais incerta e raramente testada em pequenas escalas. Para o Semiárido brasileiro, onde a pobreza é estrutural e a política educacional estadual (regime de colaboração, alfabetização na idade certa) produziu ganhos notáveis de aprendizagem, essa distinção tem implicações práticas: se a associação for apenas transversal, políticas de crescimento econômico local não deveriam ser tratadas como condição necessária para o avanço educacional.</w:t>
      </w:r>
    </w:p>
    <w:p>
      <w:pPr>
        <w:pStyle w:val="BodyText"/>
      </w:pPr>
      <w:r>
        <w:t xml:space="preserve">A microrregião do Sertão de Cratéus (IBGE 23018), no Ceará, oferece um contexto privilegiado para esse teste: nove municípios pequenos, de baixa renda, sob a mesma coordenação estadual de políticas educacionais, com série histórica completa do IDEB (2005–2025) e indicadores municipais oficiais de renda (PIB municipal e Censo Demográfico 2022).</w:t>
      </w:r>
    </w:p>
    <w:p>
      <w:pPr>
        <w:pStyle w:val="BodyText"/>
      </w:pPr>
      <w:r>
        <w:rPr>
          <w:b/>
          <w:bCs/>
        </w:rPr>
        <w:t xml:space="preserve">Pergunta de pesquisa (RQ):</w:t>
      </w:r>
      <w:r>
        <w:t xml:space="preserve"> </w:t>
      </w:r>
      <w:r>
        <w:t xml:space="preserve">no Sertão de Cratéus, a associação entre renda municipal e desempenho escolar no IDEB é transversal (entre municípios), temporal (dentro dos municípios), ou ambas? Em particular: (a) municípios com maior renda têm IDEB mais alto? (b) variações de renda dentro do município acompanham variações de IDEB? (c) o ganho educacional observado na região depende da renda municipal, e os municípios cumprem as metas pactuadas pelo INEP?</w:t>
      </w:r>
    </w:p>
    <w:p>
      <w:pPr>
        <w:pStyle w:val="BodyText"/>
      </w:pPr>
      <w:r>
        <w:t xml:space="preserve">Deliberadamente, este estudo não testa causalidade: trata-se de evidência associativa, com descrição explícita dos limites de inferência. As hipóteses operacionalizadas na Seção 3 respondem diretamente à RQ.</w:t>
      </w:r>
    </w:p>
    <w:bookmarkEnd w:id="11"/>
    <w:bookmarkStart w:id="15" w:name="fundamentação"/>
    <w:p>
      <w:pPr>
        <w:pStyle w:val="Heading2"/>
      </w:pPr>
      <w:r>
        <w:t xml:space="preserve">2. Fundamentação</w:t>
      </w:r>
    </w:p>
    <w:bookmarkStart w:id="12" w:name="o-ideb-como-indicador-e-política"/>
    <w:p>
      <w:pPr>
        <w:pStyle w:val="Heading3"/>
      </w:pPr>
      <w:r>
        <w:t xml:space="preserve">2.1 O IDEB como indicador e política</w:t>
      </w:r>
    </w:p>
    <w:p>
      <w:pPr>
        <w:pStyle w:val="FirstParagraph"/>
      </w:pPr>
      <w:r>
        <w:t xml:space="preserve">O IDEB, criado em 2007, combina fluxo escolar e proficiência no SAEB, atribuindo metas bianuais às escolas públicas (Soares; Xavier, 2013; Schneider; Nardi, 2014). A literatura critica seu caráter de accountability gerencial (Afonso, 2012), mas reconhece sua função mobilizadora (Lacruz; Américo; Carniel, 2019). Brunello e Kiss (2022) mostram, em contexto internacional, que avaliações com consequências (</w:t>
      </w:r>
      <w:r>
        <w:t xml:space="preserve">“high stakes”</w:t>
      </w:r>
      <w:r>
        <w:t xml:space="preserve">) alteram o comportamento de escolas e professores.</w:t>
      </w:r>
    </w:p>
    <w:bookmarkEnd w:id="12"/>
    <w:bookmarkStart w:id="13" w:name="Xd87c13bb06bd8a4f55ccbbda574fbc51710ba1f"/>
    <w:p>
      <w:pPr>
        <w:pStyle w:val="Heading3"/>
      </w:pPr>
      <w:r>
        <w:t xml:space="preserve">2.2 O caso do Ceará: regime de colaboração e alfabetização</w:t>
      </w:r>
    </w:p>
    <w:p>
      <w:pPr>
        <w:pStyle w:val="FirstParagraph"/>
      </w:pPr>
      <w:r>
        <w:t xml:space="preserve">O Ceará tornou-se caso emblemático por seu regime de colaboração entre estado e municípios, institucionalizado pelo Programa Alfabetização na Idade Certa (PAIC, Lei 14.026/2007). A literatura documenta ganhos expressivos de alfabetização e aprendizagem associados ao PAIC (Costa; Carnoy, 2015; Cruz; Ribeiro; Batista, 2022), com evidência de que a coordenação regional pode produzir resultados comparáveis à coordenação nacional (Segatto; Oliveira; Silva, 2024). Carnoy et al. (2017) mostraram, em análise intranacional, que diferenças estaduais de desempenho no Brasil podem ensinar sobre políticas eficazes — e o Ceará figura entre os casos de maior progresso.</w:t>
      </w:r>
    </w:p>
    <w:bookmarkEnd w:id="13"/>
    <w:bookmarkStart w:id="14" w:name="X530bb4f9efc39837d8d6f6c7c09e81039394131"/>
    <w:p>
      <w:pPr>
        <w:pStyle w:val="Heading3"/>
      </w:pPr>
      <w:r>
        <w:t xml:space="preserve">2.3 Renda e desempenho: associação transversal vs. temporal</w:t>
      </w:r>
    </w:p>
    <w:p>
      <w:pPr>
        <w:pStyle w:val="FirstParagraph"/>
      </w:pPr>
      <w:r>
        <w:t xml:space="preserve">Em análises transversais, municípios mais ricos tendem a apresentar IDEB mais alto (Duarte, 2013; Andrews; Vries, 2012). Contudo, dentro de uma mesma unidade ao longo do tempo, a variação da renda não costuma acompanhar a variação do desempenho — o crescimento do IDEB frequentemente ocorre mesmo onde a renda cresce pouco, como documentado para municípios pobres brasileiros (Andrews; Vries, 2012). Esse contraste entre associação transversal (em níveis) e ausência de associação temporal (dentro das unidades) fundamenta a distinção operacional deste estudo: medir separadamente as duas dimensões na mesma microrregião, em vez de combiná-las em um único coeficiente.</w:t>
      </w:r>
    </w:p>
    <w:bookmarkEnd w:id="14"/>
    <w:bookmarkEnd w:id="15"/>
    <w:bookmarkStart w:id="21" w:name="método"/>
    <w:p>
      <w:pPr>
        <w:pStyle w:val="Heading2"/>
      </w:pPr>
      <w:r>
        <w:t xml:space="preserve">3. Método</w:t>
      </w:r>
    </w:p>
    <w:bookmarkStart w:id="16" w:name="delimitação-e-dados"/>
    <w:p>
      <w:pPr>
        <w:pStyle w:val="Heading3"/>
      </w:pPr>
      <w:r>
        <w:t xml:space="preserve">3.1 Delimitação e dados</w:t>
      </w:r>
    </w:p>
    <w:p>
      <w:pPr>
        <w:pStyle w:val="FirstParagraph"/>
      </w:pPr>
      <w:r>
        <w:t xml:space="preserve">A microrregião do Sertão de Cratéus (IBGE 23018) compreende nove municípios: Ararendá (2301257), Crateús (2304103), Independência (2305605), Ipaporanga (2305654), Monsenhor Tabosa (2308609), Nova Russas (2309300), Novo Oriente (2309409), Quiterianópolis (2311264) e Tamboril (2313203). Usaram-se apenas fontes oficiais e auditáveis: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INEP — IDEB municipal</w:t>
      </w:r>
      <w:r>
        <w:t xml:space="preserve">, edição 2025 (série 2005–2025), rede Municipal, anos iniciais e finais do ensino fundamental (download.inep.gov.br);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IBGE — PIB dos Municípios</w:t>
      </w:r>
      <w:r>
        <w:t xml:space="preserve">, base 2010–2021 (ftp.ibge.gov.br), PIB per capita a preços correntes;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IBGE — Censo Demográfico 2022</w:t>
      </w:r>
      <w:r>
        <w:t xml:space="preserve">, agregados por município: rendimento nominal médio mensal das pessoas responsáveis (V06004) e mediana (V06006);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IBGE — Malha municipal 2023</w:t>
      </w:r>
      <w:r>
        <w:t xml:space="preserve"> </w:t>
      </w:r>
      <w:r>
        <w:t xml:space="preserve">(geoftp), para os mapas.</w:t>
      </w:r>
    </w:p>
    <w:p>
      <w:pPr>
        <w:pStyle w:val="FirstParagraph"/>
      </w:pPr>
      <w:r>
        <w:t xml:space="preserve">Todos os downloads foram registrados em manifesto de proveniência (URL, timestamp, SHA-256), disponível em</w:t>
      </w:r>
      <w:r>
        <w:t xml:space="preserve"> </w:t>
      </w:r>
      <w:r>
        <w:rPr>
          <w:rStyle w:val="VerbatimChar"/>
        </w:rPr>
        <w:t xml:space="preserve">data/raw/SOURCE_MANIFEST.json</w:t>
      </w:r>
      <w:r>
        <w:t xml:space="preserve">. O IPCE (IPC Marketing Editora), mencionado na demanda original, é um índice comercial sem acesso público auditável; portanto, usaram-se como proxies oficiais o PIB per capita e a renda do responsável, com essa limitação declarada.</w:t>
      </w:r>
    </w:p>
    <w:bookmarkEnd w:id="16"/>
    <w:bookmarkStart w:id="17" w:name="painel-e-variáveis"/>
    <w:p>
      <w:pPr>
        <w:pStyle w:val="Heading3"/>
      </w:pPr>
      <w:r>
        <w:t xml:space="preserve">3.2 Painel e variáveis</w:t>
      </w:r>
    </w:p>
    <w:p>
      <w:pPr>
        <w:pStyle w:val="FirstParagraph"/>
      </w:pPr>
      <w:r>
        <w:t xml:space="preserve">O painel emparelha, por município e ano, o IDEB observado ao log do PIB per capita defasado em dois anos (IDEB do ano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com PIB de</w:t>
      </w:r>
      <w:r>
        <w:t xml:space="preserve"> </w:t>
      </w:r>
      <w:r>
        <w:rPr>
          <w:i/>
          <w:iCs/>
        </w:rPr>
        <w:t xml:space="preserve">t</w:t>
      </w:r>
      <w:r>
        <w:t xml:space="preserve">−2), suavizando contemporaneidade mecânica. Para a microrregião, o painel de estimação cobre os anos IDEB 2013–2023 (n = 108 observações; 9 municípios × 6 anos × 2 etapas). Para robustez, repetiram-se as análises para o Ceará (184 municípios) e o Brasil (5.360 municípios).</w:t>
      </w:r>
    </w:p>
    <w:bookmarkEnd w:id="17"/>
    <w:bookmarkStart w:id="18" w:name="hipóteses"/>
    <w:p>
      <w:pPr>
        <w:pStyle w:val="Heading3"/>
      </w:pPr>
      <w:r>
        <w:t xml:space="preserve">3.3 Hipóteses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H1 (níveis):</w:t>
      </w:r>
      <w:r>
        <w:t xml:space="preserve"> </w:t>
      </w:r>
      <w:r>
        <w:t xml:space="preserve">a correlação transversal entre IDEB e log do PIB per capita é positiva e estatisticamente discernível (r ≥ 0,3; IC95% sem 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H2 (dentro):</w:t>
      </w:r>
      <w:r>
        <w:t xml:space="preserve"> </w:t>
      </w:r>
      <w:r>
        <w:t xml:space="preserve">a associação dentro das unidades é fraca ou nula — primeiras diferenças r próximo de zero e coeficiente de efeitos fixos de município e ano não significativo.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H3 (estagnação):</w:t>
      </w:r>
      <w:r>
        <w:t xml:space="preserve"> </w:t>
      </w:r>
      <w:r>
        <w:t xml:space="preserve">o ganho de IDEB (2007→último disponível) é inferior à meta pactuada pelo INEP (VL_PROJECAO_2021) e não se associa à renda municipal.</w:t>
      </w:r>
    </w:p>
    <w:bookmarkEnd w:id="18"/>
    <w:bookmarkStart w:id="19" w:name="procedimentos-de-validação"/>
    <w:p>
      <w:pPr>
        <w:pStyle w:val="Heading3"/>
      </w:pPr>
      <w:r>
        <w:t xml:space="preserve">3.4 Procedimentos de validação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Correlações em níveis:</w:t>
      </w:r>
      <w:r>
        <w:t xml:space="preserve"> </w:t>
      </w:r>
      <w:r>
        <w:t xml:space="preserve">Pearson com intervalo de confiança por bootstrap por cluster (município), seed 42, 2.000 réplicas (500 quando o número de clusters excede 50).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Primeiras diferenças:</w:t>
      </w:r>
      <w:r>
        <w:t xml:space="preserve"> </w:t>
      </w:r>
      <w:r>
        <w:t xml:space="preserve">correlação de Pearson das diferenças de primeira ordem dentro de cada município-etapa.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Efeitos fixos:</w:t>
      </w:r>
      <w:r>
        <w:t xml:space="preserve"> </w:t>
      </w:r>
      <w:r>
        <w:t xml:space="preserve">regressão com efeitos fixos de município e ano via within-transformation dupla (município e ano). Reportam-se erros padrão homocedásticos (transparência) e</w:t>
      </w:r>
      <w:r>
        <w:t xml:space="preserve"> </w:t>
      </w:r>
      <w:r>
        <w:rPr>
          <w:b/>
          <w:bCs/>
        </w:rPr>
        <w:t xml:space="preserve">erros padrão clusterizados por município</w:t>
      </w:r>
      <w:r>
        <w:t xml:space="preserve"> </w:t>
      </w:r>
      <w:r>
        <w:t xml:space="preserve">(CRVE com correção de pequena amostra, t com G−1 graus de liberdade).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LOOCV por município:</w:t>
      </w:r>
      <w:r>
        <w:t xml:space="preserve"> </w:t>
      </w:r>
      <w:r>
        <w:t xml:space="preserve">para cada um dos nove municípios, estima-se a correlação nos oito restantes e avalia-se a replicação no município retido, reportando a distribuição dos r de teste.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MDES/TOST:</w:t>
      </w:r>
      <w:r>
        <w:t xml:space="preserve"> </w:t>
      </w:r>
      <w:r>
        <w:t xml:space="preserve">mínimo efeito detectável (poder 80%, α 5%) e teste de equivalência com margem ±0,10 no coeficiente de efeitos fixos, ambos baseados no erro padrão clusterizado (G−1 graus de liberdade).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Transparência:</w:t>
      </w:r>
      <w:r>
        <w:t xml:space="preserve"> </w:t>
      </w:r>
      <w:r>
        <w:t xml:space="preserve">scripts</w:t>
      </w:r>
      <w:r>
        <w:t xml:space="preserve"> </w:t>
      </w:r>
      <w:r>
        <w:rPr>
          <w:rStyle w:val="VerbatimChar"/>
        </w:rPr>
        <w:t xml:space="preserve">baixar_dados.py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analise_crateus.py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mapa_crateus.py</w:t>
      </w:r>
      <w:r>
        <w:t xml:space="preserve">; saídas completas em</w:t>
      </w:r>
      <w:r>
        <w:t xml:space="preserve"> </w:t>
      </w:r>
      <w:r>
        <w:rPr>
          <w:rStyle w:val="VerbatimChar"/>
        </w:rPr>
        <w:t xml:space="preserve">outputs/expanded/resultados_r426.json</w:t>
      </w:r>
      <w:r>
        <w:t xml:space="preserve"> </w:t>
      </w:r>
      <w:r>
        <w:t xml:space="preserve">e proveniência</w:t>
      </w:r>
      <w:r>
        <w:t xml:space="preserve"> </w:t>
      </w:r>
      <w:r>
        <w:rPr>
          <w:rStyle w:val="VerbatimChar"/>
        </w:rPr>
        <w:t xml:space="preserve">provenance_r426.json</w:t>
      </w:r>
      <w:r>
        <w:t xml:space="preserve">.</w:t>
      </w:r>
    </w:p>
    <w:bookmarkEnd w:id="19"/>
    <w:bookmarkStart w:id="20" w:name="Xf130f7615d50ebd486343bd202b9ac90a014781"/>
    <w:p>
      <w:pPr>
        <w:pStyle w:val="Heading3"/>
      </w:pPr>
      <w:r>
        <w:t xml:space="preserve">3.5 Critérios de invalidação empírica (falsificabilidade)</w:t>
      </w:r>
    </w:p>
    <w:p>
      <w:pPr>
        <w:pStyle w:val="FirstParagraph"/>
      </w:pPr>
      <w:r>
        <w:t xml:space="preserve">Para que as hipóteses sejam testáveis, cada uma tem critérios de rejeição pré-definidos, passíveis de refutação pelos dados: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H1 seria rejeitada</w:t>
      </w:r>
      <w:r>
        <w:t xml:space="preserve"> </w:t>
      </w:r>
      <w:r>
        <w:t xml:space="preserve">se o IC95% do bootstrap por cluster incluísse zero ou se a correlação transversal fosse negativa.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H2 seria rejeitada</w:t>
      </w:r>
      <w:r>
        <w:t xml:space="preserve"> </w:t>
      </w:r>
      <w:r>
        <w:t xml:space="preserve">se o coeficiente de efeitos fixos (clusterizado) fosse estatisticamente discernível de zero ao nível de 5% ou se as primeiras diferenças mostrassem correlação |r| ≥ 0,30 com p &lt; 0,05.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H3 seria rejeitada</w:t>
      </w:r>
      <w:r>
        <w:t xml:space="preserve"> </w:t>
      </w:r>
      <w:r>
        <w:t xml:space="preserve">se a maioria dos municípios (≥ 5 de 9) ficasse abaixo da meta pactuada para 2021 ou se o ganho educacional correlacionasse positiva e significativamente com a renda municipal (r &gt; 0,30; p &lt; 0,05).</w:t>
      </w:r>
    </w:p>
    <w:p>
      <w:pPr>
        <w:pStyle w:val="FirstParagraph"/>
      </w:pPr>
      <w:r>
        <w:t xml:space="preserve">A não-detecção (MDES alto, TOST não significativo) é tratada como resultado informativo de poder estatístico, não como confirmação de ausência de efeito.</w:t>
      </w:r>
    </w:p>
    <w:bookmarkEnd w:id="20"/>
    <w:bookmarkEnd w:id="21"/>
    <w:bookmarkStart w:id="46" w:name="resultados"/>
    <w:p>
      <w:pPr>
        <w:pStyle w:val="Heading2"/>
      </w:pPr>
      <w:r>
        <w:t xml:space="preserve">4. Resultados</w:t>
      </w:r>
    </w:p>
    <w:bookmarkStart w:id="25" w:name="h1-associação-em-níveis"/>
    <w:p>
      <w:pPr>
        <w:pStyle w:val="Heading3"/>
      </w:pPr>
      <w:r>
        <w:t xml:space="preserve">4.1 H1 — associação em níveis</w:t>
      </w:r>
    </w:p>
    <w:p>
      <w:pPr>
        <w:pStyle w:val="FirstParagraph"/>
      </w:pPr>
      <w:r>
        <w:t xml:space="preserve">Na microrregião, a correlação transversal entre IDEB e log do PIB per capita defasado foi r = 0,49 (IC95% bootstrap por cluster [0,34; 0,64]; p &lt; 0,001; n = 108; 9 clusters), confirmando H1. Para o Ceará, r = 0,26 (IC95% [0,20; 0,33]); para o Brasil, r = 0,46 (IC95% [0,44; 0,47]; n = 48.695). A associação em níveis está presente na microrregião, embora com magnitude moderada — não tão elevada quanto a documentada em nível de países, mas consistente com a literatura municipal brasileira.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Figura 1 — Associação em níveis entre IDEB e log do PIB per capita (Sertão de Cratéus, 2013–2023)." title="" id="23" name="Picture"/>
            <a:graphic>
              <a:graphicData uri="http://schemas.openxmlformats.org/drawingml/2006/picture">
                <pic:pic>
                  <pic:nvPicPr>
                    <pic:cNvPr descr="outputs/figuras/fig_scatter_niveis_micr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— Associação em níveis entre IDEB e log do PIB per capita (Sertão de Cratéus, 2013–2023).</w:t>
      </w:r>
    </w:p>
    <w:p>
      <w:pPr>
        <w:pStyle w:val="BodyText"/>
      </w:pPr>
      <w:r>
        <w:rPr>
          <w:b/>
          <w:bCs/>
        </w:rPr>
        <w:t xml:space="preserve">Tabela 1 — Correlações em níveis por escala (IDEB × log PIB per capita defasado)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n (obs.)</w:t>
            </w:r>
          </w:p>
        </w:tc>
        <w:tc>
          <w:tcPr/>
          <w:p>
            <w:pPr>
              <w:pStyle w:val="Compact"/>
            </w:pPr>
            <w:r>
              <w:t xml:space="preserve">Clusters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IC95% bootstrap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Microrregião Sertão de Cratéus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0,49</w:t>
            </w:r>
          </w:p>
        </w:tc>
        <w:tc>
          <w:tcPr/>
          <w:p>
            <w:pPr>
              <w:pStyle w:val="Compact"/>
            </w:pPr>
            <w:r>
              <w:t xml:space="preserve">[0,34; 0,64]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Ceará</w:t>
            </w:r>
          </w:p>
        </w:tc>
        <w:tc>
          <w:tcPr/>
          <w:p>
            <w:pPr>
              <w:pStyle w:val="Compact"/>
            </w:pPr>
            <w:r>
              <w:t xml:space="preserve">2.202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0,26</w:t>
            </w:r>
          </w:p>
        </w:tc>
        <w:tc>
          <w:tcPr/>
          <w:p>
            <w:pPr>
              <w:pStyle w:val="Compact"/>
            </w:pPr>
            <w:r>
              <w:t xml:space="preserve">[0,20; 0,33]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</w:pPr>
            <w:r>
              <w:t xml:space="preserve">48.695</w:t>
            </w:r>
          </w:p>
        </w:tc>
        <w:tc>
          <w:tcPr/>
          <w:p>
            <w:pPr>
              <w:pStyle w:val="Compact"/>
            </w:pPr>
            <w:r>
              <w:t xml:space="preserve">5.360</w:t>
            </w:r>
          </w:p>
        </w:tc>
        <w:tc>
          <w:tcPr/>
          <w:p>
            <w:pPr>
              <w:pStyle w:val="Compact"/>
            </w:pPr>
            <w:r>
              <w:t xml:space="preserve">0,46</w:t>
            </w:r>
          </w:p>
        </w:tc>
        <w:tc>
          <w:tcPr/>
          <w:p>
            <w:pPr>
              <w:pStyle w:val="Compact"/>
            </w:pPr>
            <w:r>
              <w:t xml:space="preserve">[0,44; 0,47]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</w:tr>
    </w:tbl>
    <w:bookmarkEnd w:id="25"/>
    <w:bookmarkStart w:id="26" w:name="h2-associação-dentro-das-unidades"/>
    <w:p>
      <w:pPr>
        <w:pStyle w:val="Heading3"/>
      </w:pPr>
      <w:r>
        <w:t xml:space="preserve">4.2 H2 — associação dentro das unidades</w:t>
      </w:r>
    </w:p>
    <w:p>
      <w:pPr>
        <w:pStyle w:val="FirstParagraph"/>
      </w:pPr>
      <w:r>
        <w:t xml:space="preserve">As primeiras diferenças dentro de município-etapa na microrregião foram nulas: r = −0,05 (p = 0,61; n = 90). O coeficiente de efeitos fixos de município e ano foi β = 2,61 (SE clusterizado 1,79; IC95% cluster [−1,51; 6,73]; p = 0,18; n = 108): positivo, mas não estatisticamente discernível de zero, mesmo com erros clusterizados. Para o Ceará, β = 0,001 (IC95% cluster [−0,26; 0,26]; p = 0,99). Para o Brasil, β = 0,11 (IC95% cluster [0,07; 0,15]; p &lt; 0,001): pequeno, embora discernível dado o enorme n. H2 se confirma na microrregião e no Ceará: dentro das unidades, a associação entre variação de renda e variação de IDEB não é discernível.</w:t>
      </w:r>
    </w:p>
    <w:p>
      <w:pPr>
        <w:pStyle w:val="BodyText"/>
      </w:pPr>
      <w:r>
        <w:rPr>
          <w:b/>
          <w:bCs/>
        </w:rPr>
        <w:t xml:space="preserve">Tabela 2 — Associação dentro das unidades por escala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1ª diferenças r (p)</w:t>
            </w:r>
          </w:p>
        </w:tc>
        <w:tc>
          <w:tcPr/>
          <w:p>
            <w:pPr>
              <w:pStyle w:val="Compact"/>
            </w:pPr>
            <w:r>
              <w:t xml:space="preserve">n (1ª dif.)</w:t>
            </w:r>
          </w:p>
        </w:tc>
        <w:tc>
          <w:tcPr/>
          <w:p>
            <w:pPr>
              <w:pStyle w:val="Compact"/>
            </w:pPr>
            <w:r>
              <w:t xml:space="preserve">FE β (IC95% cluster)</w:t>
            </w:r>
          </w:p>
        </w:tc>
        <w:tc>
          <w:tcPr/>
          <w:p>
            <w:pPr>
              <w:pStyle w:val="Compact"/>
            </w:pPr>
            <w:r>
              <w:t xml:space="preserve">n (FE)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Microrregião Sertão de Cratéus</w:t>
            </w:r>
          </w:p>
        </w:tc>
        <w:tc>
          <w:tcPr/>
          <w:p>
            <w:pPr>
              <w:pStyle w:val="Compact"/>
            </w:pPr>
            <w:r>
              <w:t xml:space="preserve">−0,05 (0,61)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2,61 ([−1,51; 6,73])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Ceará</w:t>
            </w:r>
          </w:p>
        </w:tc>
        <w:tc>
          <w:tcPr/>
          <w:p>
            <w:pPr>
              <w:pStyle w:val="Compact"/>
            </w:pPr>
            <w:r>
              <w:t xml:space="preserve">0,03 (0,27)</w:t>
            </w:r>
          </w:p>
        </w:tc>
        <w:tc>
          <w:tcPr/>
          <w:p>
            <w:pPr>
              <w:pStyle w:val="Compact"/>
            </w:pPr>
            <w:r>
              <w:t xml:space="preserve">1.834</w:t>
            </w:r>
          </w:p>
        </w:tc>
        <w:tc>
          <w:tcPr/>
          <w:p>
            <w:pPr>
              <w:pStyle w:val="Compact"/>
            </w:pPr>
            <w:r>
              <w:t xml:space="preserve">0,001 ([−0,26; 0,26])</w:t>
            </w:r>
          </w:p>
        </w:tc>
        <w:tc>
          <w:tcPr/>
          <w:p>
            <w:pPr>
              <w:pStyle w:val="Compact"/>
            </w:pPr>
            <w:r>
              <w:t xml:space="preserve">2.202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</w:pPr>
            <w:r>
              <w:t xml:space="preserve">0,06 (&lt; 0,001)</w:t>
            </w:r>
          </w:p>
        </w:tc>
        <w:tc>
          <w:tcPr/>
          <w:p>
            <w:pPr>
              <w:pStyle w:val="Compact"/>
            </w:pPr>
            <w:r>
              <w:t xml:space="preserve">39.760</w:t>
            </w:r>
          </w:p>
        </w:tc>
        <w:tc>
          <w:tcPr/>
          <w:p>
            <w:pPr>
              <w:pStyle w:val="Compact"/>
            </w:pPr>
            <w:r>
              <w:t xml:space="preserve">0,11 ([0,07; 0,15])</w:t>
            </w:r>
          </w:p>
        </w:tc>
        <w:tc>
          <w:tcPr/>
          <w:p>
            <w:pPr>
              <w:pStyle w:val="Compact"/>
            </w:pPr>
            <w:r>
              <w:t xml:space="preserve">48.695</w:t>
            </w:r>
          </w:p>
        </w:tc>
      </w:tr>
    </w:tbl>
    <w:bookmarkEnd w:id="26"/>
    <w:bookmarkStart w:id="33" w:name="Xbe2b44eac008592f99ff6f32afd2a0343eab255"/>
    <w:p>
      <w:pPr>
        <w:pStyle w:val="Heading3"/>
      </w:pPr>
      <w:r>
        <w:t xml:space="preserve">4.3 Validação cruzada leave-one-out por município</w:t>
      </w:r>
    </w:p>
    <w:p>
      <w:pPr>
        <w:pStyle w:val="FirstParagraph"/>
      </w:pPr>
      <w:r>
        <w:t xml:space="preserve">A correlação de níveis estimada fora da amostra (treino nos oito municípios restantes, teste no município retido) foi positiva em 9/9 municípios (100%), com mediana r = 0,62 (média 0,65; DP 0,11). Os r de teste por município variaram de 0,43 (Quiterianópolis) a 0,81 (Ararendá). A associação em níveis não depende de um único município: é replicável em todos os nove (Figuras 2 e 3).</w:t>
      </w:r>
    </w:p>
    <w:p>
      <w:pPr>
        <w:pStyle w:val="CaptionedFigure"/>
      </w:pPr>
      <w:r>
        <w:drawing>
          <wp:inline>
            <wp:extent cx="5753100" cy="2520405"/>
            <wp:effectExtent b="0" l="0" r="0" t="0"/>
            <wp:docPr descr="Figura 2 — Trajetória do IDEB por município, 2007–2025 (anos iniciais e finais)." title="" id="28" name="Picture"/>
            <a:graphic>
              <a:graphicData uri="http://schemas.openxmlformats.org/drawingml/2006/picture">
                <pic:pic>
                  <pic:nvPicPr>
                    <pic:cNvPr descr="outputs/figuras/fig_serie_ideb_micr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20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— Trajetória do IDEB por município, 2007–2025 (anos iniciais e finais).</w:t>
      </w:r>
    </w:p>
    <w:p>
      <w:pPr>
        <w:pStyle w:val="CaptionedFigure"/>
      </w:pPr>
      <w:r>
        <w:drawing>
          <wp:inline>
            <wp:extent cx="5753100" cy="3179344"/>
            <wp:effectExtent b="0" l="0" r="0" t="0"/>
            <wp:docPr descr="Figura 3 — Validação cruzada leave-one-out: r de teste por município retido." title="" id="31" name="Picture"/>
            <a:graphic>
              <a:graphicData uri="http://schemas.openxmlformats.org/drawingml/2006/picture">
                <pic:pic>
                  <pic:nvPicPr>
                    <pic:cNvPr descr="outputs/figuras/fig_loocv_r_test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7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— Validação cruzada leave-one-out: r de teste por município retido.</w:t>
      </w:r>
    </w:p>
    <w:p>
      <w:pPr>
        <w:pStyle w:val="BodyText"/>
      </w:pPr>
      <w:r>
        <w:rPr>
          <w:b/>
          <w:bCs/>
        </w:rPr>
        <w:t xml:space="preserve">Tabela 3 — Validação cruzada leave-one-out por município (r de teste)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Município retido</w:t>
            </w:r>
          </w:p>
        </w:tc>
        <w:tc>
          <w:tcPr/>
          <w:p>
            <w:pPr>
              <w:pStyle w:val="Compact"/>
            </w:pPr>
            <w:r>
              <w:t xml:space="preserve">r treino</w:t>
            </w:r>
          </w:p>
        </w:tc>
        <w:tc>
          <w:tcPr/>
          <w:p>
            <w:pPr>
              <w:pStyle w:val="Compact"/>
            </w:pPr>
            <w:r>
              <w:t xml:space="preserve">r teste</w:t>
            </w:r>
          </w:p>
        </w:tc>
        <w:tc>
          <w:tcPr/>
          <w:p>
            <w:pPr>
              <w:pStyle w:val="Compact"/>
            </w:pPr>
            <w:r>
              <w:t xml:space="preserve">n 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Ararendá</w:t>
            </w:r>
          </w:p>
        </w:tc>
        <w:tc>
          <w:tcPr/>
          <w:p>
            <w:pPr>
              <w:pStyle w:val="Compact"/>
            </w:pPr>
            <w:r>
              <w:t xml:space="preserve">0,50</w:t>
            </w:r>
          </w:p>
        </w:tc>
        <w:tc>
          <w:tcPr/>
          <w:p>
            <w:pPr>
              <w:pStyle w:val="Compact"/>
            </w:pPr>
            <w:r>
              <w:t xml:space="preserve">0,81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Crateús</w:t>
            </w:r>
          </w:p>
        </w:tc>
        <w:tc>
          <w:tcPr/>
          <w:p>
            <w:pPr>
              <w:pStyle w:val="Compact"/>
            </w:pPr>
            <w:r>
              <w:t xml:space="preserve">0,57</w:t>
            </w:r>
          </w:p>
        </w:tc>
        <w:tc>
          <w:tcPr/>
          <w:p>
            <w:pPr>
              <w:pStyle w:val="Compact"/>
            </w:pPr>
            <w:r>
              <w:t xml:space="preserve">0,59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Independência</w:t>
            </w:r>
          </w:p>
        </w:tc>
        <w:tc>
          <w:tcPr/>
          <w:p>
            <w:pPr>
              <w:pStyle w:val="Compact"/>
            </w:pPr>
            <w:r>
              <w:t xml:space="preserve">0,46</w:t>
            </w:r>
          </w:p>
        </w:tc>
        <w:tc>
          <w:tcPr/>
          <w:p>
            <w:pPr>
              <w:pStyle w:val="Compact"/>
            </w:pPr>
            <w:r>
              <w:t xml:space="preserve">0,62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Ipaporanga</w:t>
            </w:r>
          </w:p>
        </w:tc>
        <w:tc>
          <w:tcPr/>
          <w:p>
            <w:pPr>
              <w:pStyle w:val="Compact"/>
            </w:pPr>
            <w:r>
              <w:t xml:space="preserve">0,48</w:t>
            </w:r>
          </w:p>
        </w:tc>
        <w:tc>
          <w:tcPr/>
          <w:p>
            <w:pPr>
              <w:pStyle w:val="Compact"/>
            </w:pPr>
            <w:r>
              <w:t xml:space="preserve">0,62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Monsenhor Tabosa</w:t>
            </w:r>
          </w:p>
        </w:tc>
        <w:tc>
          <w:tcPr/>
          <w:p>
            <w:pPr>
              <w:pStyle w:val="Compact"/>
            </w:pPr>
            <w:r>
              <w:t xml:space="preserve">0,46</w:t>
            </w:r>
          </w:p>
        </w:tc>
        <w:tc>
          <w:tcPr/>
          <w:p>
            <w:pPr>
              <w:pStyle w:val="Compact"/>
            </w:pPr>
            <w:r>
              <w:t xml:space="preserve">0,74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 Russas</w:t>
            </w:r>
          </w:p>
        </w:tc>
        <w:tc>
          <w:tcPr/>
          <w:p>
            <w:pPr>
              <w:pStyle w:val="Compact"/>
            </w:pPr>
            <w:r>
              <w:t xml:space="preserve">0,49</w:t>
            </w:r>
          </w:p>
        </w:tc>
        <w:tc>
          <w:tcPr/>
          <w:p>
            <w:pPr>
              <w:pStyle w:val="Compact"/>
            </w:pPr>
            <w:r>
              <w:t xml:space="preserve">0,76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Oriente</w:t>
            </w:r>
          </w:p>
        </w:tc>
        <w:tc>
          <w:tcPr/>
          <w:p>
            <w:pPr>
              <w:pStyle w:val="Compact"/>
            </w:pPr>
            <w:r>
              <w:t xml:space="preserve">0,51</w:t>
            </w:r>
          </w:p>
        </w:tc>
        <w:tc>
          <w:tcPr/>
          <w:p>
            <w:pPr>
              <w:pStyle w:val="Compact"/>
            </w:pPr>
            <w:r>
              <w:t xml:space="preserve">0,61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Quiterianópolis</w:t>
            </w:r>
          </w:p>
        </w:tc>
        <w:tc>
          <w:tcPr/>
          <w:p>
            <w:pPr>
              <w:pStyle w:val="Compact"/>
            </w:pPr>
            <w:r>
              <w:t xml:space="preserve">0,49</w:t>
            </w:r>
          </w:p>
        </w:tc>
        <w:tc>
          <w:tcPr/>
          <w:p>
            <w:pPr>
              <w:pStyle w:val="Compact"/>
            </w:pPr>
            <w:r>
              <w:t xml:space="preserve">0,43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Tamboril</w:t>
            </w:r>
          </w:p>
        </w:tc>
        <w:tc>
          <w:tcPr/>
          <w:p>
            <w:pPr>
              <w:pStyle w:val="Compact"/>
            </w:pPr>
            <w:r>
              <w:t xml:space="preserve">0,46</w:t>
            </w:r>
          </w:p>
        </w:tc>
        <w:tc>
          <w:tcPr/>
          <w:p>
            <w:pPr>
              <w:pStyle w:val="Compact"/>
            </w:pPr>
            <w:r>
              <w:t xml:space="preserve">0,71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bookmarkEnd w:id="33"/>
    <w:bookmarkStart w:id="34" w:name="mdes-e-tost"/>
    <w:p>
      <w:pPr>
        <w:pStyle w:val="Heading3"/>
      </w:pPr>
      <w:r>
        <w:t xml:space="preserve">4.4 MDES e TOST</w:t>
      </w:r>
    </w:p>
    <w:p>
      <w:pPr>
        <w:pStyle w:val="FirstParagraph"/>
      </w:pPr>
      <w:r>
        <w:t xml:space="preserve">Com n municipal de 9 e 108 observações, o mínimo efeito detectável foi de 5,71 pontos de IDEB por unidade de log do PIB (erro clusterizado, G−1 = 8 graus de liberdade; 6,05 com erro homocedástico) — muito acima de qualquer coeficiente plausível. O teste de equivalência (TOST, margem ±0,10) não foi significativo (p = 0,90). Portanto, o correto é declarar</w:t>
      </w:r>
      <w:r>
        <w:t xml:space="preserve"> </w:t>
      </w:r>
      <w:r>
        <w:rPr>
          <w:b/>
          <w:bCs/>
        </w:rPr>
        <w:t xml:space="preserve">não-detecção</w:t>
      </w:r>
      <w:r>
        <w:t xml:space="preserve">: a amostra não permite afirmar efeito, mas tampouco permite declarar equivalência. Essa é uma limitação central, explicitamente assumida.</w:t>
      </w:r>
    </w:p>
    <w:bookmarkEnd w:id="34"/>
    <w:bookmarkStart w:id="38" w:name="h3-ganho-educacional-e-metas"/>
    <w:p>
      <w:pPr>
        <w:pStyle w:val="Heading3"/>
      </w:pPr>
      <w:r>
        <w:t xml:space="preserve">4.5 H3 — ganho educacional e metas</w:t>
      </w:r>
    </w:p>
    <w:p>
      <w:pPr>
        <w:pStyle w:val="FirstParagraph"/>
      </w:pPr>
      <w:r>
        <w:t xml:space="preserve">Contrariando a premissa de estagnação, os dados INEP 2025 mostram crescimento expressivo do IDEB nos nove municípios (anos iniciais, 2007→2025): ganho médio de 5,93 pontos, com todos os municípios</w:t>
      </w:r>
      <w:r>
        <w:t xml:space="preserve"> </w:t>
      </w:r>
      <w:r>
        <w:rPr>
          <w:b/>
          <w:bCs/>
        </w:rPr>
        <w:t xml:space="preserve">acima da meta pactuada para 2021</w:t>
      </w:r>
      <w:r>
        <w:t xml:space="preserve">. O IDEB 2025 em anos iniciais variou de 6,8 (Quiterianópolis) a 9,9 (Ipaporanga), valores superiores à média nacional da rede municipal. Em anos finais, todos os nove municípios também atingiram a meta 2021. A correlação entre ganho de IDEB (anos iniciais) e renda média do responsável foi nula: r = −0,14 (p = 0,73; n = 9; Figura 4). Ou seja: não há evidência de que municípios com maior renda tenham tido maior ganho educacional — o crescimento ocorreu de forma generalizada e não acompanhou a variação de renda.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Figura 4 — Ganho de IDEB (2007→2025, anos iniciais) e renda média do responsável (Censo 2022)." title="" id="36" name="Picture"/>
            <a:graphic>
              <a:graphicData uri="http://schemas.openxmlformats.org/drawingml/2006/picture">
                <pic:pic>
                  <pic:nvPicPr>
                    <pic:cNvPr descr="outputs/figuras/fig_scatter_ganho_renda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 — Ganho de IDEB (2007→2025, anos iniciais) e renda média do responsável (Censo 2022).</w:t>
      </w:r>
    </w:p>
    <w:p>
      <w:pPr>
        <w:pStyle w:val="BodyText"/>
      </w:pPr>
      <w:r>
        <w:rPr>
          <w:b/>
          <w:bCs/>
        </w:rPr>
        <w:t xml:space="preserve">Tabela 4 — IDEB 2025, ganho 2007–2025 e meta 2021 (anos iniciais)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Município</w:t>
            </w:r>
          </w:p>
        </w:tc>
        <w:tc>
          <w:tcPr/>
          <w:p>
            <w:pPr>
              <w:pStyle w:val="Compact"/>
            </w:pPr>
            <w:r>
              <w:t xml:space="preserve">IDEB 2007</w:t>
            </w:r>
          </w:p>
        </w:tc>
        <w:tc>
          <w:tcPr/>
          <w:p>
            <w:pPr>
              <w:pStyle w:val="Compact"/>
            </w:pPr>
            <w:r>
              <w:t xml:space="preserve">IDEB 2025</w:t>
            </w:r>
          </w:p>
        </w:tc>
        <w:tc>
          <w:tcPr/>
          <w:p>
            <w:pPr>
              <w:pStyle w:val="Compact"/>
            </w:pPr>
            <w:r>
              <w:t xml:space="preserve">Ganho</w:t>
            </w:r>
          </w:p>
        </w:tc>
        <w:tc>
          <w:tcPr/>
          <w:p>
            <w:pPr>
              <w:pStyle w:val="Compact"/>
            </w:pPr>
            <w:r>
              <w:t xml:space="preserve">Meta 2021</w:t>
            </w:r>
          </w:p>
        </w:tc>
        <w:tc>
          <w:tcPr/>
          <w:p>
            <w:pPr>
              <w:pStyle w:val="Compact"/>
            </w:pPr>
            <w:r>
              <w:t xml:space="preserve">Atingiu 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Ararendá</w:t>
            </w:r>
          </w:p>
        </w:tc>
        <w:tc>
          <w:tcPr/>
          <w:p>
            <w:pPr>
              <w:pStyle w:val="Compac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  <w:r>
              <w:t xml:space="preserve">6,4</w:t>
            </w:r>
          </w:p>
        </w:tc>
        <w:tc>
          <w:tcPr/>
          <w:p>
            <w:pPr>
              <w:pStyle w:val="Compac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Crateús</w:t>
            </w:r>
          </w:p>
        </w:tc>
        <w:tc>
          <w:tcPr/>
          <w:p>
            <w:pPr>
              <w:pStyle w:val="Compac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  <w:r>
              <w:t xml:space="preserve">5,2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Independência</w:t>
            </w:r>
          </w:p>
        </w:tc>
        <w:tc>
          <w:tcPr/>
          <w:p>
            <w:pPr>
              <w:pStyle w:val="Compac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  <w:r>
              <w:t xml:space="preserve">5,2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Ipaporanga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9,9</w:t>
            </w:r>
          </w:p>
        </w:tc>
        <w:tc>
          <w:tcPr/>
          <w:p>
            <w:pPr>
              <w:pStyle w:val="Compac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Monsenhor Tabosa</w:t>
            </w:r>
          </w:p>
        </w:tc>
        <w:tc>
          <w:tcPr/>
          <w:p>
            <w:pPr>
              <w:pStyle w:val="Compac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6,8</w:t>
            </w:r>
          </w:p>
        </w:tc>
        <w:tc>
          <w:tcPr/>
          <w:p>
            <w:pPr>
              <w:pStyle w:val="Compac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 Russas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9,7</w:t>
            </w:r>
          </w:p>
        </w:tc>
        <w:tc>
          <w:tcPr/>
          <w:p>
            <w:pPr>
              <w:pStyle w:val="Compac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Oriente</w:t>
            </w:r>
          </w:p>
        </w:tc>
        <w:tc>
          <w:tcPr/>
          <w:p>
            <w:pPr>
              <w:pStyle w:val="Compac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9,6</w:t>
            </w:r>
          </w:p>
        </w:tc>
        <w:tc>
          <w:tcPr/>
          <w:p>
            <w:pPr>
              <w:pStyle w:val="Compac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5,6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Quiterianópolis</w:t>
            </w:r>
          </w:p>
        </w:tc>
        <w:tc>
          <w:tcPr/>
          <w:p>
            <w:pPr>
              <w:pStyle w:val="Compac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6,8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Tamboril</w:t>
            </w:r>
          </w:p>
        </w:tc>
        <w:tc>
          <w:tcPr/>
          <w:p>
            <w:pPr>
              <w:pStyle w:val="Compact"/>
            </w:pPr>
            <w:r>
              <w:t xml:space="preserve">3,1</w:t>
            </w:r>
          </w:p>
        </w:tc>
        <w:tc>
          <w:tcPr/>
          <w:p>
            <w:pPr>
              <w:pStyle w:val="Compac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38"/>
    <w:bookmarkStart w:id="45" w:name="mapas"/>
    <w:p>
      <w:pPr>
        <w:pStyle w:val="Heading3"/>
      </w:pPr>
      <w:r>
        <w:t xml:space="preserve">4.6 Mapas</w:t>
      </w:r>
    </w:p>
    <w:p>
      <w:pPr>
        <w:pStyle w:val="FirstParagraph"/>
      </w:pPr>
      <w:r>
        <w:t xml:space="preserve">Os mapas coropléticos (Figuras 5 e 6) apresentam os dois proxies oficiais de desenvolvimento por município: renda média mensal do responsável (Censo 2022, IBGE) e PIB per capita (2021, IBGE). Crateús, sede regional, destaca-se em ambos os indicadores; os demais municípios concentram-se nas faixas inferiores, retratando a heterogeneidade intra-regional que a análise transversal explora.</w:t>
      </w:r>
    </w:p>
    <w:p>
      <w:pPr>
        <w:pStyle w:val="CaptionedFigure"/>
      </w:pPr>
      <w:r>
        <w:drawing>
          <wp:inline>
            <wp:extent cx="5753100" cy="5890876"/>
            <wp:effectExtent b="0" l="0" r="0" t="0"/>
            <wp:docPr descr="Figura 5 — Renda média mensal do responsável por município (Censo 2022, IBGE)." title="" id="40" name="Picture"/>
            <a:graphic>
              <a:graphicData uri="http://schemas.openxmlformats.org/drawingml/2006/picture">
                <pic:pic>
                  <pic:nvPicPr>
                    <pic:cNvPr descr="outputs/mapas/mapa_renda_responsavel_censo202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89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 — Renda média mensal do responsável por município (Censo 2022, IBGE).</w:t>
      </w:r>
    </w:p>
    <w:p>
      <w:pPr>
        <w:pStyle w:val="CaptionedFigure"/>
      </w:pPr>
      <w:r>
        <w:drawing>
          <wp:inline>
            <wp:extent cx="5753100" cy="6294568"/>
            <wp:effectExtent b="0" l="0" r="0" t="0"/>
            <wp:docPr descr="Figura 6 — PIB per capita por município (2021, IBGE)." title="" id="43" name="Picture"/>
            <a:graphic>
              <a:graphicData uri="http://schemas.openxmlformats.org/drawingml/2006/picture">
                <pic:pic>
                  <pic:nvPicPr>
                    <pic:cNvPr descr="outputs/mapas/mapa_pib_per_capita_202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29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 — PIB per capita por município (2021, IBGE).</w:t>
      </w:r>
    </w:p>
    <w:bookmarkEnd w:id="45"/>
    <w:bookmarkEnd w:id="46"/>
    <w:bookmarkStart w:id="47" w:name="discussão"/>
    <w:p>
      <w:pPr>
        <w:pStyle w:val="Heading2"/>
      </w:pPr>
      <w:r>
        <w:t xml:space="preserve">5. Discussão</w:t>
      </w:r>
    </w:p>
    <w:p>
      <w:pPr>
        <w:pStyle w:val="FirstParagraph"/>
      </w:pPr>
      <w:r>
        <w:t xml:space="preserve">Os resultados indicam que, no Sertão de Cratéus, a associação entre renda e desempenho escolar é</w:t>
      </w:r>
      <w:r>
        <w:t xml:space="preserve"> </w:t>
      </w:r>
      <w:r>
        <w:rPr>
          <w:b/>
          <w:bCs/>
        </w:rPr>
        <w:t xml:space="preserve">transversal, não temporal</w:t>
      </w:r>
      <w:r>
        <w:t xml:space="preserve">: municípios com maior PIB per capita tendem a ter IDEB mais alto (r = 0,49; Figura 1), mas a variação temporal da renda não acompanha a variação do desempenho escolar (primeiras diferenças nulas; efeitos fixos não significativos; Figuras 2 e 3). A validação cruzada por município (Figura 4) sugere que a associação transversal é robusta e generalizada, não dependendo de um único município.</w:t>
      </w:r>
    </w:p>
    <w:p>
      <w:pPr>
        <w:pStyle w:val="BodyText"/>
      </w:pPr>
      <w:r>
        <w:t xml:space="preserve">Dois pontos merecem destaque. Primeiro, a associação transversal não deve ser lida como</w:t>
      </w:r>
      <w:r>
        <w:t xml:space="preserve"> </w:t>
      </w:r>
      <w:r>
        <w:t xml:space="preserve">“a pobreza determina o baixo desempenho”</w:t>
      </w:r>
      <w:r>
        <w:t xml:space="preserve">: municípios pobres da microrregião alcançaram IDEB 2025 elevado (até 9,9 pontos), consistentemente acima da meta. Segundo, o crescimento educacional não acompanhou a renda — o que é compatível com a literatura sobre políticas educacionais cearenses (PAIC, regime de colaboração, alfabetização na idade certa), que associa os ganhos a fatores institucionais e pedagógicos, e não à variação econômica local (Costa; Carnoy, 2015; Cruz; Ribeiro; Batista, 2022; Segatto; Oliveira; Silva, 2024).</w:t>
      </w:r>
    </w:p>
    <w:p>
      <w:pPr>
        <w:pStyle w:val="BodyText"/>
      </w:pPr>
      <w:r>
        <w:t xml:space="preserve">As limitações são explícitas: (i) n municipal de 9 e 108 observações implica poder estatístico baixo (MDES de 5,71 com erro clusterizado), tornando a ausência de associação temporal uma</w:t>
      </w:r>
      <w:r>
        <w:t xml:space="preserve"> </w:t>
      </w:r>
      <w:r>
        <w:rPr>
          <w:b/>
          <w:bCs/>
        </w:rPr>
        <w:t xml:space="preserve">não-detecção</w:t>
      </w:r>
      <w:r>
        <w:t xml:space="preserve"> </w:t>
      </w:r>
      <w:r>
        <w:t xml:space="preserve">e não uma prova de ausência; (ii) o PIB municipal e a renda do responsável são proxies do desenvolvimento local — o IPCE original não é auditável; (iii) não há pretensão causal; (iv) os efeitos fixos controlam fatores invariantes no tempo e choques comuns por ano, mas não outros confundidores variáveis; (v) as correlações transversais podem refletir fatores omitidos (infraestrutura, gestão) correlacionados com renda e desempenho.</w:t>
      </w:r>
    </w:p>
    <w:bookmarkEnd w:id="47"/>
    <w:bookmarkStart w:id="48" w:name="considerações-finais"/>
    <w:p>
      <w:pPr>
        <w:pStyle w:val="Heading2"/>
      </w:pPr>
      <w:r>
        <w:t xml:space="preserve">6. Considerações finais</w:t>
      </w:r>
    </w:p>
    <w:p>
      <w:pPr>
        <w:pStyle w:val="FirstParagraph"/>
      </w:pPr>
      <w:r>
        <w:t xml:space="preserve">Este estudo responde à pergunta de pesquisa com evidência associativa subnacional: no Sertão de Cratéus, a relação entre renda e desempenho escolar é</w:t>
      </w:r>
      <w:r>
        <w:t xml:space="preserve"> </w:t>
      </w:r>
      <w:r>
        <w:rPr>
          <w:b/>
          <w:bCs/>
        </w:rPr>
        <w:t xml:space="preserve">transversal, não temporal</w:t>
      </w:r>
      <w:r>
        <w:t xml:space="preserve"> </w:t>
      </w:r>
      <w:r>
        <w:t xml:space="preserve">— existe associação entre municípios (níveis), mas não dentro dos municípios ao longo do tempo. Adicionalmente, os dados oficiais mais recentes refutam a premissa de estagnação: todos os nove municípios superaram as metas pactuadas, com ganhos médios de cerca de seis pontos no período 2007–2025 e IDEB 2025 elevado mesmo em municípios de baixa renda. A ausência de associação temporal entre ganho educacional e renda sugere que fatores de política educacional — e não a variação econômica — estão associados à trajetória observada, em linha com a literatura do Ceará. Recomenda-se, para estudos futuros, ampliar o painel para todas as microrregiões cearenses e estaduais, incorporar controles de política (PAIC, ICMS educacional) e utilizar estratégias quase-experimentais para testar mecanismos causais específicos.</w:t>
      </w:r>
    </w:p>
    <w:bookmarkEnd w:id="48"/>
    <w:bookmarkStart w:id="49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AFONSO, A. J. Para uma concetualização alternativa de accountability em educação.</w:t>
      </w:r>
      <w:r>
        <w:t xml:space="preserve"> </w:t>
      </w:r>
      <w:r>
        <w:rPr>
          <w:i/>
          <w:iCs/>
        </w:rPr>
        <w:t xml:space="preserve">Educação &amp; Sociedade</w:t>
      </w:r>
      <w:r>
        <w:t xml:space="preserve">, Campinas, v. 33, n. 119, p. 471–484, 2012. https://doi.org/10.1590/S0101-73302012000200008</w:t>
      </w:r>
    </w:p>
    <w:p>
      <w:pPr>
        <w:pStyle w:val="BodyText"/>
      </w:pPr>
      <w:r>
        <w:t xml:space="preserve">ANDREWS, C. W.; VRIES, M. S. de. Pobreza e municipalização da educação: análise dos resultados do IDEB (2005-2009).</w:t>
      </w:r>
      <w:r>
        <w:t xml:space="preserve"> </w:t>
      </w:r>
      <w:r>
        <w:rPr>
          <w:i/>
          <w:iCs/>
        </w:rPr>
        <w:t xml:space="preserve">Cadernos de Pesquisa</w:t>
      </w:r>
      <w:r>
        <w:t xml:space="preserve">, São Paulo, v. 42, n. 147, p. 826–847, 2012. https://doi.org/10.1590/S0100-15742012000300010</w:t>
      </w:r>
    </w:p>
    <w:p>
      <w:pPr>
        <w:pStyle w:val="BodyText"/>
      </w:pPr>
      <w:r>
        <w:t xml:space="preserve">BRUNELLO, G.; KISS, D. Math scores in high stakes grades.</w:t>
      </w:r>
      <w:r>
        <w:t xml:space="preserve"> </w:t>
      </w:r>
      <w:r>
        <w:rPr>
          <w:i/>
          <w:iCs/>
        </w:rPr>
        <w:t xml:space="preserve">Economics of Education Review</w:t>
      </w:r>
      <w:r>
        <w:t xml:space="preserve">, v. 87, 102219, 2022. https://doi.org/10.1016/j.econedurev.2021.102219</w:t>
      </w:r>
    </w:p>
    <w:p>
      <w:pPr>
        <w:pStyle w:val="BodyText"/>
      </w:pPr>
      <w:r>
        <w:t xml:space="preserve">CARNOY, M.; MAROTTA, L.; LOUZANO, P.; et al. Intranational comparative education: what state differences in student achievement can teach us about improving education — the case of Brazil.</w:t>
      </w:r>
      <w:r>
        <w:t xml:space="preserve"> </w:t>
      </w:r>
      <w:r>
        <w:rPr>
          <w:i/>
          <w:iCs/>
        </w:rPr>
        <w:t xml:space="preserve">Comparative Education Review</w:t>
      </w:r>
      <w:r>
        <w:t xml:space="preserve">, v. 61, n. 4, 2017. https://doi.org/10.1086/693981</w:t>
      </w:r>
    </w:p>
    <w:p>
      <w:pPr>
        <w:pStyle w:val="BodyText"/>
      </w:pPr>
      <w:r>
        <w:t xml:space="preserve">CITO, L.; MARÔCO, J. Beyond the average: mapping educational inequality in Brazil with PISA 2022.</w:t>
      </w:r>
      <w:r>
        <w:t xml:space="preserve"> </w:t>
      </w:r>
      <w:r>
        <w:rPr>
          <w:i/>
          <w:iCs/>
        </w:rPr>
        <w:t xml:space="preserve">Large-scale Assessments in Education</w:t>
      </w:r>
      <w:r>
        <w:t xml:space="preserve">, v. 14, 2026. https://doi.org/10.1186/s40536-026-00302-0</w:t>
      </w:r>
    </w:p>
    <w:p>
      <w:pPr>
        <w:pStyle w:val="BodyText"/>
      </w:pPr>
      <w:r>
        <w:t xml:space="preserve">COSTA, L. O.; CARNOY, M. The effectiveness of an early-grade literacy intervention on the cognitive achievement of Brazilian students.</w:t>
      </w:r>
      <w:r>
        <w:t xml:space="preserve"> </w:t>
      </w:r>
      <w:r>
        <w:rPr>
          <w:i/>
          <w:iCs/>
        </w:rPr>
        <w:t xml:space="preserve">Educational Evaluation and Policy Analysis</w:t>
      </w:r>
      <w:r>
        <w:t xml:space="preserve">, v. 37, n. 4, p. 567–590, 2015. https://doi.org/10.3102/0162373715571437</w:t>
      </w:r>
    </w:p>
    <w:p>
      <w:pPr>
        <w:pStyle w:val="BodyText"/>
      </w:pPr>
      <w:r>
        <w:t xml:space="preserve">CRUZ, M. C. M. T.; RIBEIRO, V. M.; BATISTA, J. M. Contexto de implementação do Programa de Aprendizagem na Idade Certa (PAIC).</w:t>
      </w:r>
      <w:r>
        <w:t xml:space="preserve"> </w:t>
      </w:r>
      <w:r>
        <w:rPr>
          <w:i/>
          <w:iCs/>
        </w:rPr>
        <w:t xml:space="preserve">Revista Ibero-Americana de Estudos em Educação</w:t>
      </w:r>
      <w:r>
        <w:t xml:space="preserve">, Araraquara, v. 17, n. esp. 3, p. 2405–2432, 2022. https://doi.org/10.21723/riaee.v17iesp.3.16719</w:t>
      </w:r>
    </w:p>
    <w:p>
      <w:pPr>
        <w:pStyle w:val="BodyText"/>
      </w:pPr>
      <w:r>
        <w:t xml:space="preserve">DUARTE, N. de S. O impacto da pobreza no Ideb: um estudo multinível.</w:t>
      </w:r>
      <w:r>
        <w:t xml:space="preserve"> </w:t>
      </w:r>
      <w:r>
        <w:rPr>
          <w:i/>
          <w:iCs/>
        </w:rPr>
        <w:t xml:space="preserve">Revista Brasileira de Estudos Pedagógicos</w:t>
      </w:r>
      <w:r>
        <w:t xml:space="preserve">, Brasília, DF, v. 94, n. 237, p. 343–363, 2013. https://doi.org/10.1590/S2176-66812013000200002</w:t>
      </w:r>
    </w:p>
    <w:p>
      <w:pPr>
        <w:pStyle w:val="BodyText"/>
      </w:pPr>
      <w:r>
        <w:t xml:space="preserve">HANUSHEK, E. A.; WOESSMANN, L.</w:t>
      </w:r>
      <w:r>
        <w:t xml:space="preserve"> </w:t>
      </w:r>
      <w:r>
        <w:rPr>
          <w:i/>
          <w:iCs/>
        </w:rPr>
        <w:t xml:space="preserve">The Knowledge Capital of Nations: education and the economics of growth</w:t>
      </w:r>
      <w:r>
        <w:t xml:space="preserve">. Cambridge, MA: MIT Press, 2015. https://doi.org/10.7551/mitpress/9780262029179.001.0001</w:t>
      </w:r>
    </w:p>
    <w:p>
      <w:pPr>
        <w:pStyle w:val="BodyText"/>
      </w:pPr>
      <w:r>
        <w:t xml:space="preserve">LACRUZ, A. J.; AMÉRICO, B. L.; CARNIEL, F. Indicadores de qualidade na educação: análise discriminante dos desempenhos na Prova Brasil.</w:t>
      </w:r>
      <w:r>
        <w:t xml:space="preserve"> </w:t>
      </w:r>
      <w:r>
        <w:rPr>
          <w:i/>
          <w:iCs/>
        </w:rPr>
        <w:t xml:space="preserve">Revista Brasileira de Estudos Pedagógicos</w:t>
      </w:r>
      <w:r>
        <w:t xml:space="preserve">, Brasília, DF, v. 100, n. 254, 2019. https://doi.org/10.1590/S1413-24782019240002</w:t>
      </w:r>
    </w:p>
    <w:p>
      <w:pPr>
        <w:pStyle w:val="BodyText"/>
      </w:pPr>
      <w:r>
        <w:t xml:space="preserve">SCHNEIDER, M. P.; NARDI, E. L. O IDEB e a construção de um modelo de accountability na educação básica brasileira.</w:t>
      </w:r>
      <w:r>
        <w:t xml:space="preserve"> </w:t>
      </w:r>
      <w:r>
        <w:rPr>
          <w:i/>
          <w:iCs/>
        </w:rPr>
        <w:t xml:space="preserve">Revista Portuguesa de Educação</w:t>
      </w:r>
      <w:r>
        <w:t xml:space="preserve">, Braga, v. 27, n. 1, p. 7–28, 2014. https://doi.org/10.21814/rpe.4295</w:t>
      </w:r>
    </w:p>
    <w:p>
      <w:pPr>
        <w:pStyle w:val="BodyText"/>
      </w:pPr>
      <w:r>
        <w:t xml:space="preserve">SEGATTO, C. I.; OLIVEIRA, K. de; SILVA, A. L. N. da. Os limites do PNE (2014-2024) no regime de colaboração.</w:t>
      </w:r>
      <w:r>
        <w:t xml:space="preserve"> </w:t>
      </w:r>
      <w:r>
        <w:rPr>
          <w:i/>
          <w:iCs/>
        </w:rPr>
        <w:t xml:space="preserve">Estudos em Avaliação Educacional</w:t>
      </w:r>
      <w:r>
        <w:t xml:space="preserve">, São Paulo, v. 35, e10549, 2024. https://doi.org/10.18222/eae.v35.10549</w:t>
      </w:r>
    </w:p>
    <w:p>
      <w:pPr>
        <w:pStyle w:val="BodyText"/>
      </w:pPr>
      <w:r>
        <w:t xml:space="preserve">SOARES, J. F.; XAVIER, F. P. Pressupostos educacionais e estatísticos do Ideb.</w:t>
      </w:r>
      <w:r>
        <w:t xml:space="preserve"> </w:t>
      </w:r>
      <w:r>
        <w:rPr>
          <w:i/>
          <w:iCs/>
        </w:rPr>
        <w:t xml:space="preserve">Educação &amp; Sociedade</w:t>
      </w:r>
      <w:r>
        <w:t xml:space="preserve">, Campinas, v. 34, n. 124, p. 903–923, 2013. https://doi.org/10.1590/S0101-73302013000300013</w:t>
      </w:r>
    </w:p>
    <w:bookmarkEnd w:id="49"/>
    <w:bookmarkStart w:id="50" w:name="Xb81c9ee436544be0586c5f0ff6fd02321a9d8f1"/>
    <w:p>
      <w:pPr>
        <w:pStyle w:val="Heading2"/>
      </w:pPr>
      <w:r>
        <w:t xml:space="preserve">Apêndice A — Proveniência e reprodutibilidade</w:t>
      </w:r>
    </w:p>
    <w:p>
      <w:pPr>
        <w:pStyle w:val="Compact"/>
        <w:numPr>
          <w:ilvl w:val="0"/>
          <w:numId w:val="1005"/>
        </w:numPr>
      </w:pPr>
      <w:r>
        <w:t xml:space="preserve">Scripts:</w:t>
      </w:r>
      <w:r>
        <w:t xml:space="preserve"> </w:t>
      </w:r>
      <w:r>
        <w:rPr>
          <w:rStyle w:val="VerbatimChar"/>
        </w:rPr>
        <w:t xml:space="preserve">scripts/baixar_dados.py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scripts/analise_crateus.py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scripts/mapa_crateus.py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scripts/graficos_crateus.py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Manifesto de fontes (URL, timestamp, SHA-256):</w:t>
      </w:r>
      <w:r>
        <w:t xml:space="preserve"> </w:t>
      </w:r>
      <w:r>
        <w:rPr>
          <w:rStyle w:val="VerbatimChar"/>
        </w:rPr>
        <w:t xml:space="preserve">data/raw/SOURCE_MANIFEST.json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Resultados completos:</w:t>
      </w:r>
      <w:r>
        <w:t xml:space="preserve"> </w:t>
      </w:r>
      <w:r>
        <w:rPr>
          <w:rStyle w:val="VerbatimChar"/>
        </w:rPr>
        <w:t xml:space="preserve">outputs/expanded/resultados_r426.json</w:t>
      </w:r>
      <w:r>
        <w:t xml:space="preserve">; proveniência computacional:</w:t>
      </w:r>
      <w:r>
        <w:t xml:space="preserve"> </w:t>
      </w:r>
      <w:r>
        <w:rPr>
          <w:rStyle w:val="VerbatimChar"/>
        </w:rPr>
        <w:t xml:space="preserve">outputs/expanded/provenance_r426.json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Figuras:</w:t>
      </w:r>
      <w:r>
        <w:t xml:space="preserve"> </w:t>
      </w:r>
      <w:r>
        <w:rPr>
          <w:rStyle w:val="VerbatimChar"/>
        </w:rPr>
        <w:t xml:space="preserve">outputs/figuras/</w:t>
      </w:r>
      <w:r>
        <w:t xml:space="preserve"> </w:t>
      </w:r>
      <w:r>
        <w:t xml:space="preserve">(scatter de níveis, séries temporais, LOOCV, ganho×renda) e</w:t>
      </w:r>
      <w:r>
        <w:t xml:space="preserve"> </w:t>
      </w:r>
      <w:r>
        <w:rPr>
          <w:rStyle w:val="VerbatimChar"/>
        </w:rPr>
        <w:t xml:space="preserve">outputs/mapas/</w:t>
      </w:r>
      <w:r>
        <w:t xml:space="preserve"> </w:t>
      </w:r>
      <w:r>
        <w:t xml:space="preserve">(renda do responsável, PIB per capita).</w:t>
      </w:r>
    </w:p>
    <w:p>
      <w:pPr>
        <w:pStyle w:val="Compact"/>
        <w:numPr>
          <w:ilvl w:val="0"/>
          <w:numId w:val="1005"/>
        </w:numPr>
      </w:pPr>
      <w:r>
        <w:t xml:space="preserve">Fontes: INEP — IDEB municipal, edição 2025 (https://download.inep.gov.br/ideb/resultados/divulgacao_anos_iniciais_municipios_2025.zip e</w:t>
      </w:r>
      <w:r>
        <w:t xml:space="preserve"> </w:t>
      </w:r>
      <w:r>
        <w:rPr>
          <w:i/>
          <w:iCs/>
        </w:rPr>
        <w:t xml:space="preserve">anos_finais</w:t>
      </w:r>
      <w:r>
        <w:t xml:space="preserve">); IBGE — PIB dos Municípios 2021 (https://ftp.ibge.gov.br/Pib_Municipios/2021/base/base_de_dados_2010_2021_xlsx.zip); IBGE — Censo 2022, rendimento do responsável (https://ftp.ibge.gov.br/Censos/Censo_Demografico_2022/…/Agregados_por_municipios_renda_responsavel_BR_20260508_csv.zip); IBGE — malha 2023 (https://geoftp.ibge.gov.br/…/CE_Municipios_2023.zip).</w:t>
      </w:r>
    </w:p>
    <w:p>
      <w:pPr>
        <w:pStyle w:val="Compact"/>
        <w:numPr>
          <w:ilvl w:val="0"/>
          <w:numId w:val="1005"/>
        </w:numPr>
      </w:pPr>
      <w:r>
        <w:t xml:space="preserve">Declaração de limites: evidência associativa; n municipal de 9; MDES 5,71 (cluster); não-detecção declarada; IPCE substituído por proxies oficiais.</w:t>
      </w:r>
    </w:p>
    <w:bookmarkEnd w:id="50"/>
    <w:bookmarkEnd w:id="51"/>
    <w:sectPr>
      <w:footnotePr>
        <w:numRestart w:val="eachSect"/>
      </w:footnotePr>
      <w:pgSz w:h="16838" w:w="11906"/>
      <w:pgMar w:bottom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  <w:jc w:val="both"/>
    </w:pPr>
    <w:rPr>
      <w:rFonts w:ascii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  <w:jc w:val="both"/>
    </w:pPr>
    <w:rPr>
      <w:rFonts w:ascii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360" w:lineRule="auto"/>
      <w:jc w:val="both"/>
    </w:pPr>
    <w:rPr>
      <w:rFonts w:ascii="Times New Roman" w:eastAsia="Times New Roman" w:hAnsi="Times New Roman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/>
      <w:sz w:val="24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60" w:lineRule="auto"/>
      <w:jc w:val="both"/>
    </w:pPr>
    <w:rPr>
      <w:rFonts w:cstheme="majorBidi" w:eastAsiaTheme="majorEastAsia" w:ascii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360" w:lineRule="auto"/>
      <w:jc w:val="both"/>
    </w:pPr>
    <w:rPr>
      <w:rFonts w:ascii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360" w:lineRule="auto"/>
      <w:jc w:val="both"/>
    </w:pPr>
    <w:rPr>
      <w:rFonts w:ascii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 w:line="360" w:lineRule="auto"/>
      <w:jc w:val="both"/>
    </w:pPr>
    <w:rPr>
      <w:rFonts w:ascii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360" w:lineRule="auto"/>
      <w:jc w:val="both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/>
      <w:jc w:val="both"/>
    </w:pPr>
    <w:rPr>
      <w:rFonts w:ascii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jc w:val="both"/>
      <w:outlineLvl w:val="2"/>
    </w:pPr>
    <w:rPr>
      <w:rFonts w:ascii="Times New Roman" w:cstheme="majorBidi" w:eastAsia="Times New Roman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jc w:val="both"/>
      <w:outlineLvl w:val="3"/>
    </w:pPr>
    <w:rPr>
      <w:rFonts w:cstheme="majorBidi" w:eastAsiaTheme="majorEastAsia" w:ascii="Times New Roman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jc w:val="both"/>
      <w:outlineLvl w:val="4"/>
    </w:pPr>
    <w:rPr>
      <w:rFonts w:cstheme="majorBidi" w:eastAsiaTheme="majorEastAsia" w:ascii="Times New Roman" w:hAnsi="Times New Roman"/>
      <w:color w:themeColor="accent1" w:themeShade="BF" w:val="0F4761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jc w:val="both"/>
      <w:outlineLvl w:val="5"/>
    </w:pPr>
    <w:rPr>
      <w:rFonts w:cstheme="majorBidi" w:eastAsiaTheme="majorEastAsia" w:ascii="Times New Roman" w:hAnsi="Times New Roman"/>
      <w:i/>
      <w:iCs/>
      <w:color w:themeColor="text1" w:themeTint="A6" w:val="595959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 w:line="360" w:lineRule="auto"/>
      <w:jc w:val="both"/>
      <w:outlineLvl w:val="6"/>
    </w:pPr>
    <w:rPr>
      <w:rFonts w:cstheme="majorBidi" w:eastAsiaTheme="majorEastAsia" w:ascii="Times New Roman" w:hAnsi="Times New Roman"/>
      <w:color w:themeColor="text1" w:themeTint="A6" w:val="595959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360" w:lineRule="auto"/>
      <w:jc w:val="both"/>
      <w:outlineLvl w:val="7"/>
    </w:pPr>
    <w:rPr>
      <w:rFonts w:cstheme="majorBidi" w:eastAsiaTheme="majorEastAsia" w:ascii="Times New Roman" w:hAnsi="Times New Roman"/>
      <w:i/>
      <w:iCs/>
      <w:color w:themeColor="text1" w:themeTint="D8" w:val="272727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360" w:lineRule="auto"/>
      <w:jc w:val="both"/>
      <w:outlineLvl w:val="8"/>
    </w:pPr>
    <w:rPr>
      <w:rFonts w:cstheme="majorBidi" w:eastAsiaTheme="majorEastAsia" w:ascii="Times New Roman" w:hAnsi="Times New Roman"/>
      <w:color w:themeColor="text1" w:themeTint="D8" w:val="272727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4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/>
      <w:i/>
      <w:iCs/>
      <w:color w:themeColor="accent1" w:themeShade="BF" w:val="0F4761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/>
      <w:color w:themeColor="accent1" w:themeShade="BF" w:val="0F4761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/>
      <w:i/>
      <w:iCs/>
      <w:color w:themeColor="text1" w:themeTint="A6" w:val="595959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/>
      <w:color w:themeColor="text1" w:themeTint="A6" w:val="595959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/>
      <w:i/>
      <w:iCs/>
      <w:color w:themeColor="text1" w:themeTint="D8" w:val="272727"/>
      <w:sz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/>
      <w:color w:themeColor="text1" w:themeTint="D8" w:val="272727"/>
      <w:sz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80" w:right="480"/>
      <w:jc w:val="both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360" w:lineRule="auto"/>
      <w:jc w:val="both"/>
    </w:pPr>
    <w:rPr>
      <w:rFonts w:ascii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 w:line="360" w:lineRule="auto"/>
      <w:ind w:firstLine="0" w:left="480" w:right="480"/>
      <w:jc w:val="both"/>
    </w:pPr>
    <w:rPr>
      <w:rFonts w:ascii="Times New Roman" w:hAnsi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sz w:val="24"/>
    </w:rPr>
  </w:style>
  <w:style w:default="1" w:styleId="Table" w:type="table">
    <w:name w:val="Table"/>
    <w:basedOn w:val="TableNormal"/>
    <w:semiHidden/>
    <w:unhideWhenUsed/>
    <w:qFormat/>
    <w:pPr>
      <w:spacing w:line="360" w:lineRule="auto"/>
      <w:jc w:val="both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360" w:lineRule="auto"/>
      <w:jc w:val="both"/>
    </w:pPr>
    <w:rPr>
      <w:rFonts w:ascii="Times New Roman" w:hAnsi="Times New Roman"/>
      <w:b/>
      <w:sz w:val="24"/>
    </w:rPr>
  </w:style>
  <w:style w:customStyle="1" w:styleId="Definition" w:type="paragraph">
    <w:name w:val="Definition"/>
    <w:basedOn w:val="Normal"/>
    <w:pPr>
      <w:spacing w:line="360" w:lineRule="auto"/>
      <w:jc w:val="both"/>
    </w:pPr>
    <w:rPr>
      <w:rFonts w:ascii="Times New Roman" w:hAnsi="Times New Roman"/>
      <w:sz w:val="24"/>
    </w:rPr>
  </w:style>
  <w:style w:styleId="Caption" w:type="paragraph">
    <w:name w:val="Caption"/>
    <w:basedOn w:val="Normal"/>
    <w:link w:val="BodyTextChar"/>
    <w:pPr>
      <w:spacing w:after="120" w:before="0" w:line="360" w:lineRule="auto"/>
      <w:jc w:val="both"/>
    </w:pPr>
    <w:rPr>
      <w:rFonts w:ascii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line="360" w:lineRule="auto"/>
      <w:jc w:val="both"/>
    </w:pPr>
    <w:rPr>
      <w:rFonts w:ascii="Times New Roman" w:eastAsia="Times New Roman" w:hAnsi="Times New Roman"/>
      <w:sz w:val="20"/>
    </w:rPr>
  </w:style>
  <w:style w:customStyle="1" w:styleId="ImageCaption" w:type="paragraph">
    <w:name w:val="Image Caption"/>
    <w:basedOn w:val="Caption"/>
    <w:pPr>
      <w:spacing w:line="360" w:lineRule="auto"/>
      <w:jc w:val="both"/>
    </w:pPr>
    <w:rPr>
      <w:rFonts w:ascii="Times New Roman" w:hAnsi="Times New Roman"/>
      <w:sz w:val="24"/>
    </w:rPr>
  </w:style>
  <w:style w:customStyle="1" w:styleId="Figure" w:type="paragraph">
    <w:name w:val="Figure"/>
    <w:basedOn w:val="Normal"/>
    <w:pPr>
      <w:spacing w:line="360" w:lineRule="auto"/>
      <w:jc w:val="both"/>
    </w:pPr>
    <w:rPr>
      <w:rFonts w:ascii="Times New Roman" w:hAnsi="Times New Roman"/>
      <w:sz w:val="24"/>
    </w:rPr>
  </w:style>
  <w:style w:customStyle="1" w:styleId="CaptionedFigure" w:type="paragraph">
    <w:name w:val="Captioned Figure"/>
    <w:basedOn w:val="Figure"/>
    <w:pPr>
      <w:keepNext/>
      <w:spacing w:line="360" w:lineRule="auto"/>
      <w:jc w:val="both"/>
    </w:pPr>
    <w:rPr>
      <w:rFonts w:ascii="Times New Roman" w:hAnsi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jc w:val="both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360" w:lineRule="auto"/>
      <w:jc w:val="both"/>
    </w:pPr>
    <w:rPr>
      <w:rFonts w:ascii="Times New Roman" w:hAnsi="Times New Roman"/>
      <w:sz w:val="24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7020"/>
      <w:sz w:val="24"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  <w:sz w:val="24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  <w:sz w:val="24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  <w:sz w:val="24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  <w:sz w:val="24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  <w:sz w:val="24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  <w:sz w:val="24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8000"/>
      <w:sz w:val="24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60a0b0"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ba2121"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60a0b0"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60a0b0"/>
      <w:sz w:val="24"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  <w:sz w:val="24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7020"/>
      <w:sz w:val="24"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  <w:sz w:val="24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60a0b0"/>
      <w:sz w:val="24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60a0b0"/>
      <w:sz w:val="24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ff0000"/>
      <w:sz w:val="24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ff0000"/>
      <w:sz w:val="24"/>
    </w:rPr>
  </w:style>
  <w:style w:type="character" w:customStyle="1" w:styleId="NormalTok">
    <w:name w:val="NormalTok"/>
    <w:basedOn w:val="VerbatimChar"/>
    <w:rPr>
      <w:rFonts w:ascii="Times New Roman" w:hAnsi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5" Type="http://schemas.openxmlformats.org/officeDocument/2006/relationships/image" Target="media/rId35.png"/><Relationship Id="rId22" Type="http://schemas.openxmlformats.org/officeDocument/2006/relationships/image" Target="media/rId22.png"/><Relationship Id="rId27" Type="http://schemas.openxmlformats.org/officeDocument/2006/relationships/image" Target="media/rId27.png"/><Relationship Id="rId42" Type="http://schemas.openxmlformats.org/officeDocument/2006/relationships/image" Target="media/rId42.png"/><Relationship Id="rId39" Type="http://schemas.openxmlformats.org/officeDocument/2006/relationships/image" Target="media/rId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2026-08-15T16:56:34Z</dcterms:created>
  <dcterms:modified xsi:type="dcterms:W3CDTF">2026-08-15T16:56:34Z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