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2"/>
        <w:spacing w:lineRule="auto"/>
      </w:pPr>
      <w:r>
        <w:rPr/>
        <w:t xml:space="preserve">O Protocolo que Não Protege: Crítica Epistêmica, Jurídica e Comparada à Portaria CNPq nº 2.664/2026 Prof. Marcelo Claro &amp; Grupo de Pesquisa 2026</w:t>
      </w:r>
    </w:p>
    <w:p>
      <w:pPr>
        <w:spacing w:lineRule="auto"/>
      </w:pPr>
      <w:r>
        <w:rPr/>
        <w:t xml:space="preserve">...</w:t>
      </w:r>
    </w:p>
    <w:p>
      <w:pPr>
        <w:pStyle w:val="Heading1"/>
        <w:spacing w:lineRule="auto"/>
      </w:pPr>
      <w:r>
        <w:rPr/>
        <w:t xml:space="preserve">Resumo</w:t>
      </w:r>
    </w:p>
    <w:p>
      <w:pPr>
        <w:spacing w:lineRule="auto"/>
      </w:pPr>
      <w:r>
        <w:rPr/>
        <w:t xml:space="preserve">Este ensaio submete a Portaria CNPq nº 2.664/2026 — que exige declaração obrigatória de uso de IAG — a crítica rigorosa em 6 dimensões: técnica, hermenêutica, ética, jurídico-brasileira, comparada (China, EUA, UE) e substantiva. Demonstra-se que: (a) detectores de IA têm taxas de falso-positivo inaceitáveis (Weber-Wulff et al., 2023; Liu et al., 2024); (b) a proporção uso/declaração chega a 40:1 (Liang et al., 2025); (c) o art. 9º contém 7 ambiguidades que geram insegurança jurídica; (d) o protocolo conflita com a LGPD, o art. 218 CF e o princípio da legalidade; (e) diferentemente da China (padrão nacional obrigatório GB 45438-2025), da UE (AI Act Art. 50) e dos EUA (NSF TRUST), o modelo brasileiro depende exclusivamente de autodeclaração sem enforcement técnico. Conclui-se que, embora a Portaria represente avanço simbólico ao reconhecer a IAG, suas fragilidades superam seus acertos, operando como instrumento de retardamento burocrático que penaliza inovadores sem constranger mal-intencionados.</w:t>
      </w:r>
    </w:p>
    <w:p>
      <w:pPr>
        <w:spacing w:lineRule="auto"/>
      </w:pPr>
      <w:r>
        <w:rPr>
          <w:b/>
        </w:rPr>
        <w:t xml:space="preserve">Palavras-chave:</w:t>
      </w:r>
      <w:r>
        <w:rPr/>
        <w:t xml:space="preserve"> Inteligência artificial generativa. Portaria CNPq nº 2. 664/2026. Integridade científica. Detecção de IA. Direito administrativo. Regulação comparada. Qualis CAPES. LGPD.</w:t>
      </w:r>
    </w:p>
    <w:p>
      <w:pPr>
        <w:pStyle w:val="Heading1"/>
        <w:spacing w:lineRule="auto"/>
      </w:pPr>
      <w:r>
        <w:rPr/>
        <w:t xml:space="preserve">Abstract</w:t>
      </w:r>
    </w:p>
    <w:p>
      <w:pPr>
        <w:spacing w:lineRule="auto"/>
      </w:pPr>
      <w:r>
        <w:rPr/>
        <w:t xml:space="preserve">This essay subjects CNPq Ordinance No. 2.664/2026 — which mandates compulsory declaration of Generative AI (GAI) use — to rigorous critique across six dimensions: technical, hermeneutic, ethical, Brazilian legal, comparative (China, USA, EU), and substantive. It demonstrates that: (a) AI detectors have unacceptable false-positive rates (Weber-Wulff et al., 2023; Liu et al., 2024); (b) the use-to-disclosure ratio reaches 40:1 (Liang et al., 2025); (c) Art. 9 contains seven ambiguities generating legal uncertainty; (d) the protocol conflicts with Brazil’s LGPD, Art. 218 of the Federal Constitution, and the principle of legality; (e) unlike China (mandatory national standard GB 45438-2025), the EU (AI Act Art. 50), and the USA (NSF TRUST), the Brazilian model relies exclusively on self-declaration without technical enforcement.</w:t>
      </w:r>
    </w:p>
    <w:p>
      <w:pPr>
        <w:spacing w:lineRule="auto"/>
      </w:pPr>
      <w:r>
        <w:rPr>
          <w:b/>
        </w:rPr>
        <w:t xml:space="preserve">Keywords:</w:t>
      </w:r>
      <w:r>
        <w:rPr/>
        <w:t xml:space="preserve"> Generative artificial intelligence. CNPq Ordinance No. 2.664/2026. Scientific integrity. AI detection. Administrative law. Comparative regulation. Qualis CAPES. LGPD.</w:t>
      </w:r>
    </w:p>
    <w:p>
      <w:pPr>
        <w:pStyle w:val="Heading2"/>
        <w:spacing w:lineRule="auto"/>
      </w:pPr>
      <w:r>
        <w:rPr/>
        <w:t xml:space="preserve">1. Introdução: O Ano da Virada Regulatória</w:t>
      </w:r>
    </w:p>
    <w:p>
      <w:pPr>
        <w:spacing w:lineRule="auto"/>
      </w:pPr>
      <w:r>
        <w:rPr/>
        <w:t xml:space="preserve">O ano de 2026 será lembrado como o momento em que três das maiores potências científicas do mundo — Brasil, China e União Europeia — convergiram para regular o uso de inteligência artificial generativa (IAG) na pesquisa acadêmica, cada qual com seu modelo normativo. Os Estados Unidos, por sua vez, optaram por via distinta, centrada em segurança de pesquisa e combate à influência estrangeira. Este ensaio situa a Portaria CNPq nº 2.664/2026 neste cenário comparado para revelar suas fragilidades e limites.</w:t>
      </w:r>
    </w:p>
    <w:p>
      <w:pPr>
        <w:spacing w:lineRule="auto"/>
      </w:pPr>
      <w:r>
        <w:rPr>
          <w:b/>
        </w:rPr>
        <w:t xml:space="preserve">O marco brasileiro.</w:t>
      </w:r>
      <w:r>
        <w:rPr/>
        <w:t xml:space="preserve"> A Portaria CNPq nº 2.664, de 6 de março de 2026, institui a Política de Integridade na Atividade Científica[^1]. Seu art. 9º estabelece três diretrizes centrais: (i) alínea "c": obrigatoriedade de declarar o uso de IAG "em qualquer fase do desenvolvimento da pesquisa (concepção, redação, análise de dados, submissão) especificando [...] a ferramenta utilizada e a finalidade"; (ii) alínea "d": vedação de "submissão de conteúdo gerado por IAG como se fosse de autoria humana"; (iii) alínea "e": vedação ao uso de IAG para elaboração de pareceres científicos[^2]. Simultaneamente, a CAPES disponibilizou o documento "A inteligência artificial na pesquisa e no fomento: desafios e oportunidades" (Brasil, 2026)[^3], que reconhece a urgência do debate mas não oferece solução operacional.</w:t>
      </w:r>
    </w:p>
    <w:p>
      <w:pPr>
        <w:spacing w:lineRule="auto"/>
      </w:pPr>
      <w:r>
        <w:rPr/>
        <w:t xml:space="preserve">A pergunta fundamental — "como provar que alguém usou IA?" — não encontra resposta no texto da Portaria nem na literatura técnica. Este ensaio sustenta que, ao exigir o que é logicamente impossível de verificar, o protocolo CNPq opera como instrumento de retardamento burocrático da pesquisa, penalizando inovadores e não constrangendo mal-intencionados.</w:t>
      </w:r>
    </w:p>
    <w:p>
      <w:pPr>
        <w:pStyle w:val="Heading2"/>
        <w:spacing w:lineRule="auto"/>
      </w:pPr>
      <w:r>
        <w:rPr/>
        <w:t xml:space="preserve">2. Dimensão Técnica: O Problema Insolúvel da Detecção</w:t>
      </w:r>
    </w:p>
    <w:p>
      <w:pPr>
        <w:pStyle w:val="Heading3"/>
        <w:spacing w:lineRule="auto"/>
      </w:pPr>
      <w:r>
        <w:rPr/>
        <w:t xml:space="preserve">2.1. A falência dos detectores automatizados</w:t>
      </w:r>
    </w:p>
    <w:p>
      <w:pPr>
        <w:spacing w:lineRule="auto"/>
      </w:pPr>
      <w:r>
        <w:rPr/>
        <w:t xml:space="preserve">O art. 9º, alínea "c", pressupõe que o uso não declarado de IAG pode ser identificado e punido. Esta premissa é falseada por um corpo robusto de evidências empíricas.</w:t>
      </w:r>
    </w:p>
    <w:p>
      <w:pPr>
        <w:spacing w:lineRule="auto"/>
      </w:pPr>
      <w:r>
        <w:rPr/>
        <w:t xml:space="preserve">Weber-Wulff et al. (2023) testaram 14 detectores comerciais de texto gerado por IA e encontraram "altas taxas de falso-positivo", concluindo que "nenhum detector é confiável o suficiente para uso em contextos de alta penalidade"[^4]. A amostra incluiu textos acadêmicos reais e gerados por diferentes modelos (GPT-3, GPT-3.5, GPT-4), em múltiplos idiomas, e os resultados foram consistentes: nenhuma ferramenta atingiu simultaneamente sensibilidade &gt;80% e especificidade &gt;90%.</w:t>
      </w:r>
    </w:p>
    <w:p>
      <w:pPr>
        <w:spacing w:lineRule="auto"/>
      </w:pPr>
      <w:r>
        <w:rPr/>
        <w:t xml:space="preserve">Liu et al. (2024) compararam detectores automatizados com julgamento humano na identificação de textos médicos gerados por LLMs. O estudo, publicado no </w:t>
      </w:r>
      <w:r>
        <w:rPr/>
        <w:t xml:space="preserve">International Journal for Educational Integrity</w:t>
      </w:r>
      <w:r>
        <w:rPr/>
        <w:t xml:space="preserve">, concluiu que "nenhum método atinge confiabilidade aceitável" e que "a concordância entre detectores é baixa"[^5].</w:t>
      </w:r>
    </w:p>
    <w:p>
      <w:pPr>
        <w:spacing w:lineRule="auto"/>
      </w:pPr>
      <w:r>
        <w:rPr/>
        <w:t xml:space="preserve">Pudasaini et al. (2025), em </w:t>
      </w:r>
      <w:r>
        <w:rPr/>
        <w:t xml:space="preserve">survey</w:t>
      </w:r>
      <w:r>
        <w:rPr/>
        <w:t xml:space="preserve"> abrangente no </w:t>
      </w:r>
      <w:r>
        <w:rPr/>
        <w:t xml:space="preserve">Journal of Academic Ethics</w:t>
      </w:r>
      <w:r>
        <w:rPr/>
        <w:t xml:space="preserve"> (Qualis A1), documentaram que a paráfrase — técnica trivial disponível em qualquer LLM — reduz a acurácia dos detectores a níveis próximos do aleatório. Os autores testaram 5 detectores contra textos submetidos a paráfrase, tradução e </w:t>
      </w:r>
      <w:r>
        <w:rPr/>
        <w:t xml:space="preserve">prompt injection</w:t>
      </w:r>
      <w:r>
        <w:rPr/>
        <w:t xml:space="preserve">, constatando que "a taxa de detecção cai de 85% para 32% após paráfrase mínima"[^6].</w:t>
      </w:r>
    </w:p>
    <w:p>
      <w:pPr>
        <w:spacing w:lineRule="auto"/>
      </w:pPr>
      <w:r>
        <w:rPr/>
        <w:t xml:space="preserve">O estudo de larga escala mais recente é o de Liang et al. (2025), que analisou 164.579 artigos completos e 5,2 milhões de resumos. A conclusão é devastadora para o protocolo CNPq: entre os 75.172 artigos publicados desde 2023, apenas 76 (~0,1%) declararam uso de IA. Contudo, a proporção estimada de artigos com conteúdo gerado por IA no primeiro trimestre de 2025 era 40 vezes maior que a taxa de declaração (40:1)[^7].</w:t>
      </w:r>
    </w:p>
    <w:p>
      <w:pPr>
        <w:pStyle w:val="Heading3"/>
        <w:spacing w:lineRule="auto"/>
      </w:pPr>
      <w:r>
        <w:rPr/>
        <w:t xml:space="preserve">2.2. A anomalia do art. 9º, alínea "c"</w:t>
      </w:r>
    </w:p>
    <w:p>
      <w:pPr>
        <w:spacing w:lineRule="auto"/>
      </w:pPr>
      <w:r>
        <w:rPr/>
        <w:t xml:space="preserve">A redação da alínea "c" — "IAG, de qualquer espécie e em qualquer fase" — padece de </w:t>
      </w:r>
      <w:r>
        <w:rPr>
          <w:b/>
        </w:rPr>
        <w:t xml:space="preserve">hipergeneralização</w:t>
      </w:r>
      <w:r>
        <w:rPr/>
        <w:t xml:space="preserve">. A IA não é monolítica. Kocak et al. (2025) distinguem ao menos quatro níveis de uso de IA na pesquisa acadêmica, cada qual com diferentes implicações éticas e de detecção[^8]: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Nível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Exemplo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Detectável?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Relevância Ética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Assistência linguística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Corretor ortográfico, paráfrase pontual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Mínima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Sumarização, tradução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DeepL, Elicit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Parcialmente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Baixa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Geração de seções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Redação de métodos ou discussão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Duvidosa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Geração integral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Artigo completo por 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Detectável (marcadores grosseiros)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Gravíssima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 Portaria trata todos os níveis como equivalentes. Esta falta de gradação expõe o pesquisador que usa Grammarly para correção ortográfica ao mesmo regime legal de quem submete artigo integralmente gerado por IA — um tratamento juridicamente desproporcional.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2.3. A falácia do </w:t>
      </w:r>
      <w:r>
        <w:rPr/>
        <w:t xml:space="preserve">enforcement</w:t>
      </w:r>
    </w:p>
    <w:p>
      <w:pPr>
        <w:spacing w:lineRule="auto"/>
      </w:pPr>
      <w:r>
        <w:rPr/>
        <w:t xml:space="preserve">A impossibilidade técnica de detecção produz uma </w:t>
      </w:r>
      <w:r>
        <w:rPr>
          <w:b/>
        </w:rPr>
        <w:t xml:space="preserve">falácia de enforcement</w:t>
      </w:r>
      <w:r>
        <w:rPr/>
        <w:t xml:space="preserve">: o protocolo parece exigir conduta, mas não oferece meio de verificação. Pérez-Neri et al. (2025), na </w:t>
      </w:r>
      <w:r>
        <w:rPr/>
        <w:t xml:space="preserve">Frontiers in Artificial Intelligence</w:t>
      </w:r>
      <w:r>
        <w:rPr/>
        <w:t xml:space="preserve">, sintetizam: "os desenvolvimentos atuais [em detectores] não são suficientemente precisos ou confiáveis para uso em avaliação acadêmica"[^9].</w:t>
      </w:r>
    </w:p>
    <w:p>
      <w:pPr>
        <w:pStyle w:val="Heading2"/>
        <w:spacing w:lineRule="auto"/>
      </w:pPr>
      <w:r>
        <w:rPr/>
        <w:t xml:space="preserve">3. Dimensão Hermenêutica: As Sete Ambiguidades do Art. 9º</w:t>
      </w:r>
    </w:p>
    <w:p>
      <w:pPr>
        <w:spacing w:lineRule="auto"/>
      </w:pPr>
      <w:r>
        <w:rPr/>
        <w:t xml:space="preserve">O art. 9º da Portaria nº 2.664/2026 contém </w:t>
      </w:r>
      <w:r>
        <w:rPr>
          <w:b/>
        </w:rPr>
        <w:t xml:space="preserve">pelo menos sete ambiguidades</w:t>
      </w:r>
      <w:r>
        <w:rPr/>
        <w:t xml:space="preserve"> que comprometem sua aplicação coerente e produzem insegurança jurídica: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Ambiguidade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Dispositivo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Problema Interpretativo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"pesquisa apoiada pelo CNPq"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Apenas financiada diretamente, ou qualquer pesquisa de bolsista PQ?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"Qualquer espécie" de IAG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alínea "c"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Inclui corretor ortográfico? Tradutor automático?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"Qualquer fase"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alínea "c"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Concepção da ideia já dispara a obrigação?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"Conteúdo gerado por IAG"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alínea "d"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 que é "gerado"? E texto híbrido humano+máquina?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"Finalidade" a especificar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alínea "c"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Basta "revisão textual" ou exige detalhamento por parágrafo?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"Ferramenta utilizada"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alínea "c"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Versão exata? Provedor? Data da consulta?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Vedação a pareceres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alínea "e"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Aplica-se a LLM local (open-source) sem transmissão de dados?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  <w:p>
            <w:pPr>
              <w:spacing w:lineRule="auto"/>
            </w:pPr>
            <w:r>
              <w:rPr>
                <w:b/>
              </w:rPr>
              <w:t xml:space="preserve">ambiguidade #1</w:t>
            </w:r>
          </w:p>
          <w:p>
            <w:pPr>
              <w:spacing w:lineRule="auto"/>
            </w:pPr>
            <w:r>
              <w:rPr/>
              <w:t xml:space="preserve"> é particularmente grave. A expressão "pesquisa apoiada pelo CNPq" pode ser interpretada restritivamente (apenas pesquisas com repasse financeiro direto) ou ampliativamente (toda atividade de pesquisador que recebe bolsa PQ). A primeira interpretação exclui parcela significativa da produção científica brasileira; a segunda amplia o escopo além da competência legal do CNPq, invadindo seara de periódicos e universidades[^10].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ambiguidade #4</w:t>
      </w:r>
      <w:r>
        <w:rPr/>
        <w:t xml:space="preserve"> — o que constitui "conteúdo gerado por IAG" — é a mais problemática. Se o pesquisador usa ChatGPT para sugerir três versões de um parágrafo, edita manualmente as três e funde em uma quarta versão, o texto resultante é "gerado por IAG"? A literatura sobre </w:t>
      </w:r>
      <w:r>
        <w:rPr/>
        <w:t xml:space="preserve">human-AI co-creation</w:t>
      </w:r>
      <w:r>
        <w:rPr/>
        <w:t xml:space="preserve"> demonstra que a distinção é um continuum, não uma dicotomia.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ambiguidade #7</w:t>
      </w:r>
      <w:r>
        <w:rPr/>
        <w:t xml:space="preserve"> cria brecha facilmente explorável: IAGs executadas localmente (Llama, DeepSeek, Qwen, Mistral) não transmitem dados a terceiros. O CNPq não tem meios de auditar o ambiente computacional de cada pesquisador-parecerista. A vedação, portanto, é inócuas para usuários de modelos locais, que representam parcela crescente da comunidade técnica[^11].</w:t>
      </w:r>
    </w:p>
    <w:p>
      <w:pPr>
        <w:pStyle w:val="Heading2"/>
        <w:spacing w:lineRule="auto"/>
      </w:pPr>
      <w:r>
        <w:rPr/>
        <w:t xml:space="preserve">4. Dimensão Ética: O Paradoxo da Transparência e o Dilema do Inovador</w:t>
      </w:r>
    </w:p>
    <w:p>
      <w:pPr>
        <w:pStyle w:val="Heading3"/>
        <w:spacing w:lineRule="auto"/>
      </w:pPr>
      <w:r>
        <w:rPr/>
        <w:t xml:space="preserve">4.1. A transparência como armadilha</w:t>
      </w:r>
    </w:p>
    <w:p>
      <w:pPr>
        <w:spacing w:lineRule="auto"/>
      </w:pPr>
      <w:r>
        <w:rPr/>
        <w:t xml:space="preserve">Schilke e Reimann (2025) identificaram o que denominam "dilema da transparência" (</w:t>
      </w:r>
      <w:r>
        <w:rPr/>
        <w:t xml:space="preserve">transparency dilemma</w:t>
      </w:r>
      <w:r>
        <w:rPr/>
        <w:t xml:space="preserve">) em estudo no </w:t>
      </w:r>
      <w:r>
        <w:rPr/>
        <w:t xml:space="preserve">Organizational Behavior and Human Decision Processes</w:t>
      </w:r>
      <w:r>
        <w:rPr/>
        <w:t xml:space="preserve">: a declaração de uso de IA reduz a confiança do leitor no trabalho, mesmo quando a IA foi usada de forma ética e assistiva[^12].</w:t>
      </w:r>
    </w:p>
    <w:p>
      <w:pPr>
        <w:spacing w:lineRule="auto"/>
      </w:pPr>
      <w:r>
        <w:rPr/>
        <w:t xml:space="preserve">Este efeito é particularmente perverso no contexto do protocolo CNPq: o pesquisador que declara uso de IA segundo o art. 9º, alínea "c", expõe-se a escrutínio mais rigoroso, vieses de revisão e potencial desqualificação — mesmo que o uso tenha sido legítimo e assistivo. O pesquisador que não declara, por outro lado, não corre risco (a detecção é inviável). O resultado é a </w:t>
      </w:r>
      <w:r>
        <w:rPr>
          <w:b/>
        </w:rPr>
        <w:t xml:space="preserve">seleção adversa</w:t>
      </w:r>
      <w:r>
        <w:rPr/>
        <w:t xml:space="preserve">: o protocolo pune a honestidade e recompensa a omissão.</w:t>
      </w:r>
    </w:p>
    <w:p>
      <w:pPr>
        <w:pStyle w:val="Heading3"/>
        <w:spacing w:lineRule="auto"/>
      </w:pPr>
      <w:r>
        <w:rPr/>
        <w:t xml:space="preserve">4.2. O paradoxo da reprodutibilidade vs. segredo industrial</w:t>
      </w:r>
    </w:p>
    <w:p>
      <w:pPr>
        <w:spacing w:lineRule="auto"/>
      </w:pPr>
      <w:r>
        <w:rPr/>
        <w:t xml:space="preserve">A alínea "d" — vedação de submissão de conteúdo gerado por IAG como autoria humana — colide com a realidade da pesquisa de fronteira medicada por IA. Modelos de AlphaFold, GNoME ou descoberta por IA operam sob lógica de caixa-preta protegida por segredo industrial.</w:t>
      </w:r>
    </w:p>
    <w:p>
      <w:pPr>
        <w:spacing w:lineRule="auto"/>
      </w:pPr>
      <w:r>
        <w:rPr/>
        <w:t xml:space="preserve">Este paradoxo é bem descrito por Kocak et al. (2025): a reprodutibilidade científica exige transparência total, mas os modelos algorítmicos que viabilizam inovações aceleradas são protegidos como propriedade intelectual. A comunidade pode validar resultados finais, não o processo cognitivo da máquina. A Portaria, ao tratar a transparência como sempre possível, ignora o conflito estrutural entre propriedade corporativa e escrutínio acadêmico[^13].</w:t>
      </w:r>
    </w:p>
    <w:p>
      <w:pPr>
        <w:pStyle w:val="Heading2"/>
        <w:spacing w:lineRule="auto"/>
      </w:pPr>
      <w:r>
        <w:rPr/>
        <w:t xml:space="preserve">5. Dimensão Jurídico-Brasileira: Colisões Normativas</w:t>
      </w:r>
    </w:p>
    <w:p>
      <w:pPr>
        <w:pStyle w:val="Heading3"/>
        <w:spacing w:lineRule="auto"/>
      </w:pPr>
      <w:r>
        <w:rPr/>
        <w:t xml:space="preserve">5.1. LGPD vs. alínea "c"</w:t>
      </w:r>
    </w:p>
    <w:p>
      <w:pPr>
        <w:spacing w:lineRule="auto"/>
      </w:pPr>
      <w:r>
        <w:rPr/>
        <w:t xml:space="preserve">A alínea "c" exige que o pesquisador especifique "a ferramenta utilizada e a finalidade" do uso de IAG. Se a ferramenta for um LLM comercial (ChatGPT, Claude, Gemini), o pesquisador pode estar — sem saber — violando a LGPD ao submeter dados de pesquisa a servidores no exterior, especialmente se os dados envolverem informações pessoais de sujeitos de pesquisa[^14].</w:t>
      </w:r>
    </w:p>
    <w:p>
      <w:pPr>
        <w:spacing w:lineRule="auto"/>
      </w:pPr>
      <w:r>
        <w:rPr/>
        <w:t xml:space="preserve">A Portaria oferece zero orientação sobre como conciliar a obrigação de declarar detalhadamente o uso de IA com a proteção de dados. O pesquisador fica diante de um conflito normativo: cumprir o CNPq (declarar a ferramenta) ou cumprir a LGPD (não expor dados a terceiros não autorizados pelo consentimento).</w:t>
      </w:r>
    </w:p>
    <w:p>
      <w:pPr>
        <w:pStyle w:val="Heading3"/>
        <w:spacing w:lineRule="auto"/>
      </w:pPr>
      <w:r>
        <w:rPr/>
        <w:t xml:space="preserve">5.2. Art. 218 da Constituição Federal</w:t>
      </w:r>
    </w:p>
    <w:p>
      <w:pPr>
        <w:spacing w:lineRule="auto"/>
      </w:pPr>
      <w:r>
        <w:rPr/>
        <w:t xml:space="preserve">O art. 218 da CF determina que "o Estado promoverá e incentivará o desenvolvimento científico, a pesquisa, a capacitação científica e tecnológica e a inovação". A Portaria impõe obrigações declaratórias e vedações sem contrapartida de incentivo.</w:t>
      </w:r>
    </w:p>
    <w:p>
      <w:pPr>
        <w:spacing w:lineRule="auto"/>
      </w:pPr>
      <w:r>
        <w:rPr/>
        <w:t xml:space="preserve">Este descompasso entre regulação e fomento pode ser questionado à luz do princípio constitucional. A doutrina do direito administrativo da inovação (Bucci, 2021) sustenta que a regulação estatal da pesquisa deve observar a </w:t>
      </w:r>
      <w:r>
        <w:rPr>
          <w:b/>
        </w:rPr>
        <w:t xml:space="preserve">proporcionalidade</w:t>
      </w:r>
      <w:r>
        <w:rPr/>
        <w:t xml:space="preserve"> entre meios restritivos e fins promocionais[^15]. Uma norma que cria custo burocrático sem benefício demonstrável de integridade é desproporcional.</w:t>
      </w:r>
    </w:p>
    <w:p>
      <w:pPr>
        <w:pStyle w:val="Heading3"/>
        <w:spacing w:lineRule="auto"/>
      </w:pPr>
      <w:r>
        <w:rPr/>
        <w:t xml:space="preserve">5.3. Ausência de sanção específica e legalidade estrita</w:t>
      </w:r>
    </w:p>
    <w:p>
      <w:pPr>
        <w:spacing w:lineRule="auto"/>
      </w:pPr>
      <w:r>
        <w:rPr/>
        <w:t xml:space="preserve">A Portaria não estabelece sanções para o descumprimento do art. 9º. Esta lacuna viola o princípio da legalidade estrita (art. 5º, II, CF) e a tipicidade no direito administrativo sancionador. Sem descrição clara de infração e sanção, a aplicação da norma dependeria de interpretação extensiva — vedada neste âmbito.</w:t>
      </w:r>
    </w:p>
    <w:p>
      <w:pPr>
        <w:spacing w:lineRule="auto"/>
      </w:pPr>
      <w:r>
        <w:rPr/>
        <w:t xml:space="preserve">O direito administrativo brasileiro exige que a sanção esteja prevista em lei ou ato normativo equivalente (art. 5º, XXXIX, CF c/c art. 1º da LINDB). A ausência de sanção explícita significa que, na prática, a Portaria é </w:t>
      </w:r>
      <w:r>
        <w:rPr>
          <w:b/>
        </w:rPr>
        <w:t xml:space="preserve">lex imperfecta</w:t>
      </w:r>
      <w:r>
        <w:rPr/>
        <w:t xml:space="preserve">: obriga mas não pune, ou pune sem tipificação, o que é juridicamente insustentável[^16].</w:t>
      </w:r>
    </w:p>
    <w:p>
      <w:pPr>
        <w:pStyle w:val="Heading2"/>
        <w:spacing w:lineRule="auto"/>
      </w:pPr>
      <w:r>
        <w:rPr/>
        <w:t xml:space="preserve">6. Dimensão Comparada: Quatro Modelos Regulatórios</w:t>
      </w:r>
    </w:p>
    <w:p>
      <w:pPr>
        <w:spacing w:lineRule="auto"/>
      </w:pPr>
      <w:r>
        <w:rPr/>
        <w:t xml:space="preserve">A comparação internacional revela que cada país abordou o desafio de forma diversa, e que a opção brasileira — autodeclaração sem verificação técnica — é a de menor densidade normativa e menor capacidade de enforcement.</w:t>
      </w:r>
    </w:p>
    <w:p>
      <w:pPr>
        <w:pStyle w:val="Heading3"/>
        <w:spacing w:lineRule="auto"/>
      </w:pPr>
      <w:r>
        <w:rPr/>
        <w:t xml:space="preserve">6.1. China: Regulação Centralizada com Padrão Obrigatório</w:t>
      </w:r>
    </w:p>
    <w:p>
      <w:pPr>
        <w:spacing w:lineRule="auto"/>
      </w:pPr>
      <w:r>
        <w:rPr/>
        <w:t xml:space="preserve">A China adotou o modelo mais abrangente e tecnicamente sofisticado: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Ministério da Ciência e Tecnologia (2023)</w:t>
      </w:r>
      <w:r>
        <w:rPr/>
        <w:t xml:space="preserve">: diretrizes proíbem uso de IA generativa para gerar materiais de submissão, exigem rotulagem clara de conteúdo gerado por IA e vedam IA como co-autora[^17].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Academia Chinesa de Ciências (2024)</w:t>
      </w:r>
      <w:r>
        <w:rPr/>
        <w:t xml:space="preserve">: oito "lembretes de integridade" detalhando usos permitidos e proibidos por etapa de pesquisa.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GB 45438-2025 (setembro de 2025)</w:t>
      </w:r>
      <w:r>
        <w:rPr/>
        <w:t xml:space="preserve">: </w:t>
      </w:r>
      <w:r>
        <w:rPr>
          <w:b/>
        </w:rPr>
        <w:t xml:space="preserve">padrão nacional obrigatório</w:t>
      </w:r>
      <w:r>
        <w:rPr/>
        <w:t xml:space="preserve"> de marcação de conteúdo gerado por IA. Exige marcação explícita (visível ao usuário) e implícita (metadados, watermarks digitais)[^18].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Guideline on Boundaries of AIGC Usage 3.0 (dezembro de 2025)</w:t>
      </w:r>
      <w:r>
        <w:rPr/>
        <w:t xml:space="preserve">: 3ª edição com casos práticos, especificando limites por etapa (revisão de literatura, coleta de dados, análise estatística, geração de figuras).</w:t>
      </w:r>
    </w:p>
    <w:p>
      <w:pPr>
        <w:spacing w:lineRule="auto"/>
      </w:pPr>
      <w:r>
        <w:rPr/>
        <w:t xml:space="preserve">O modelo chinês é o que mais se aproxima de um </w:t>
      </w:r>
      <w:r>
        <w:rPr/>
        <w:t xml:space="preserve">enforcement</w:t>
      </w:r>
      <w:r>
        <w:rPr/>
        <w:t xml:space="preserve"> factível, por três razões: (a) o padrão técnico obrigatório (GB 45438-2025) é aplicado na origem pelos provedores de IA chineses (aplicam marcação automática); (b) a fiscalização é exercida pelo CAC (Cyberspace Administration) com poder de sanção administrativa; (c) o regime exige registro e filing de algoritmos de IA.</w:t>
      </w:r>
    </w:p>
    <w:p>
      <w:pPr>
        <w:spacing w:lineRule="auto"/>
      </w:pPr>
      <w:r>
        <w:rPr/>
        <w:t xml:space="preserve">Limitações do modelo chinês: (a) dependência de provedores nacionais — LLMs estrangeiros (ChatGPT, Claude) não são acessíveis na China continental, o que cria ecossistema controlado; (b) alto custo de conformidade; (c) potencial para censura e controle político disfarçado de regulação de IA[^19].</w:t>
      </w:r>
    </w:p>
    <w:p>
      <w:pPr>
        <w:pStyle w:val="Heading3"/>
        <w:spacing w:lineRule="auto"/>
      </w:pPr>
      <w:r>
        <w:rPr/>
        <w:t xml:space="preserve">6.2. União Europeia: Abordagem Baseada em Risco com Enforcement Escalonado</w:t>
      </w:r>
    </w:p>
    <w:p>
      <w:pPr>
        <w:spacing w:lineRule="auto"/>
      </w:pPr>
      <w:r>
        <w:rPr/>
        <w:t xml:space="preserve">O EU AI Act (Regulation 2024/1689) é o primeiro marco regulatório abrangente de IA no mundo. Para a pesquisa acadêmica, seus dispositivos mais relevantes são: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Art. 2(6) e (8)</w:t>
      </w:r>
      <w:r>
        <w:rPr/>
        <w:t xml:space="preserve">: isenções para pesquisa ("research exemption") — sistemas de IA desenvolvidos exclusivamente para pesquisa científica estão fora do escopo[^20].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Art. 50</w:t>
      </w:r>
      <w:r>
        <w:rPr/>
        <w:t xml:space="preserve">: obrigações de transparência aplicáveis a todos os sistemas de IA (incluindo pesquisa aplicada) — exigem que conteúdo sintético seja marcado e detectável[^21].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Code of Practice on Marking and Labelling</w:t>
      </w:r>
      <w:r>
        <w:rPr/>
        <w:t xml:space="preserve"> (2º draft em 05/03/2026, final esperado para junho de 2026): especificações técnicas para marcação de conteúdo gerado por IA, aplicáveis a partir de agosto de 2026.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Diretrizes da Comissão Europeia</w:t>
      </w:r>
      <w:r>
        <w:rPr/>
        <w:t xml:space="preserve"> (2º trimestre de 2026): interpretação oficial das obrigações de transparência.</w:t>
      </w:r>
    </w:p>
    <w:p>
      <w:pPr>
        <w:spacing w:lineRule="auto"/>
      </w:pPr>
      <w:r>
        <w:rPr/>
        <w:t xml:space="preserve">A distinção crítica do modelo europeu é: não impõe declaração pelo autor — impõe </w:t>
      </w:r>
      <w:r>
        <w:rPr>
          <w:b/>
        </w:rPr>
        <w:t xml:space="preserve">marcação técnica pelo provedor</w:t>
      </w:r>
      <w:r>
        <w:rPr/>
        <w:t xml:space="preserve">. O LLM comercial é obrigado por lei (art. 50(2)) a marcar seu output de forma legível por máquina. A obrigação de transparência recai sobre quem </w:t>
      </w:r>
      <w:r>
        <w:rPr/>
        <w:t xml:space="preserve">disponibiliza</w:t>
      </w:r>
      <w:r>
        <w:rPr/>
        <w:t xml:space="preserve"> o sistema, não sobre quem o </w:t>
      </w:r>
      <w:r>
        <w:rPr/>
        <w:t xml:space="preserve">usa</w:t>
      </w:r>
      <w:r>
        <w:rPr/>
        <w:t xml:space="preserve">.</w:t>
      </w:r>
    </w:p>
    <w:p>
      <w:pPr>
        <w:spacing w:lineRule="auto"/>
      </w:pPr>
      <w:r>
        <w:rPr/>
        <w:t xml:space="preserve">Isso contrasta fundamentalmente com o modelo brasileiro, que impõe a obrigação exclusivamente sobre o pesquisador-usuário — sem exigência correspondente sobre os provedores. A assimetria é evidente: o Brasil regula quem não tem como verificar a própria declaração.</w:t>
      </w:r>
    </w:p>
    <w:p>
      <w:pPr>
        <w:spacing w:lineRule="auto"/>
      </w:pPr>
      <w:r>
        <w:rPr/>
        <w:t xml:space="preserve">Meszaros, Huys e Ioannidis (2026) identificaram fragilidades nas isenções de pesquisa do AI Act: a distinção entre pesquisa acadêmica e atividade comercial é turva; o desenvolvimento em ambiente controlado (</w:t>
      </w:r>
      <w:r>
        <w:rPr/>
        <w:t xml:space="preserve">sandbox</w:t>
      </w:r>
      <w:r>
        <w:rPr/>
        <w:t xml:space="preserve">) versus teste em ambiente real é difícil de determinar[^22].</w:t>
      </w:r>
    </w:p>
    <w:p>
      <w:pPr>
        <w:pStyle w:val="Heading3"/>
        <w:spacing w:lineRule="auto"/>
      </w:pPr>
      <w:r>
        <w:rPr/>
        <w:t xml:space="preserve">6.3. Estados Unidos: Segurança de pesquisa em vez de Regulação de IA</w:t>
      </w:r>
    </w:p>
    <w:p>
      <w:pPr>
        <w:spacing w:lineRule="auto"/>
      </w:pPr>
      <w:r>
        <w:rPr/>
        <w:t xml:space="preserve">Os EUA não possuem regulação federal específica sobre uso de IA na pesquisa acadêmica. A abordagem é indireta, centrada em segurança de pesquisa (</w:t>
      </w:r>
      <w:r>
        <w:rPr/>
        <w:t xml:space="preserve">research security</w:t>
      </w:r>
      <w:r>
        <w:rPr/>
        <w:t xml:space="preserve">) e combate à influência estrangeira: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NSF Scientific Integrity Policy (NSF 24-007, fevereiro de 2024)</w:t>
      </w:r>
      <w:r>
        <w:rPr/>
        <w:t xml:space="preserve">: reafirma compromisso com integridade, mas não menciona IA especificamente[^23].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NSPM-33 e TRUST Framework</w:t>
      </w:r>
      <w:r>
        <w:rPr/>
        <w:t xml:space="preserve">: foco em </w:t>
      </w:r>
      <w:r>
        <w:rPr/>
        <w:t xml:space="preserve">disclosure</w:t>
      </w:r>
      <w:r>
        <w:rPr/>
        <w:t xml:space="preserve"> de apoio estrangeiro e conflitos de compromisso, não em declaração de IA[^24].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CHIPS and Science Act (2022)</w:t>
      </w:r>
      <w:r>
        <w:rPr/>
        <w:t xml:space="preserve">: §10339B exige </w:t>
      </w:r>
      <w:r>
        <w:rPr/>
        <w:t xml:space="preserve">disclosure</w:t>
      </w:r>
      <w:r>
        <w:rPr/>
        <w:t xml:space="preserve"> de apoio financeiro estrangeiro, mas silencia sobre IA.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NSF Proposal &amp; Award Policies (PAPPG 24-1, maio de 2024)</w:t>
      </w:r>
      <w:r>
        <w:rPr/>
        <w:t xml:space="preserve">: incorpora requisitos de segurança de pesquisa e integridade científica, mas IA não é tratada como categoria específica[^25].</w:t>
      </w:r>
    </w:p>
    <w:p>
      <w:pPr>
        <w:spacing w:lineRule="auto"/>
      </w:pPr>
      <w:r>
        <w:rPr/>
        <w:t xml:space="preserve">O modelo americano é o mais liberal: não exige declaração de IA, não estabelece padrão de marcação, não cria obrigação para provedores. A integridade é delegada às instituições e periódicos, que têm políticas próprias. Esta abordagem minimiza custos burocráticos mas transfere o problema para o </w:t>
      </w:r>
      <w:r>
        <w:rPr/>
        <w:t xml:space="preserve">self-governance</w:t>
      </w:r>
      <w:r>
        <w:rPr/>
        <w:t xml:space="preserve"> de cada entidade.</w:t>
      </w:r>
    </w:p>
    <w:p>
      <w:pPr>
        <w:pStyle w:val="Heading3"/>
        <w:spacing w:lineRule="auto"/>
      </w:pPr>
      <w:r>
        <w:rPr/>
        <w:t xml:space="preserve">6.4. Tabela Comparativa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Dimensão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Brasil (CNPq 2.664/2026)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União Europeia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EUA (NSF)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 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Portaria administrativa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Lei + Padrão Nacional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Regulamento (diretamente aplicável)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Política interna NSF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Obrigação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Autodeclaração do pesquisador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Marcação pelo provedor + declaração do usuário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Marcação técnica pelo provedor (Art. 50)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Nenhuma específica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Padrão técnico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Nenhum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GB 45438-2025 (obrigatório)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Code of Practice (voluntário)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Nenhum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Enforcement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Inexistente (sem sanção)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 com sanções administrativas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Comissão + autoridades nacionais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pesquisa segurança (não IA)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Escopo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pesquisa apoiada pelo CNPq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Toda pesquisa na 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Sistemas de IA no mercado EU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Pesquisas financiadas NSF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 de conformidade para pesquisador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Alto (declaração detalhada)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Médio (rotulagem + verificação)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Baixo (marcação é do provedor)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Zero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6.5. Síntese Comparativa</w:t>
      </w:r>
    </w:p>
    <w:p>
      <w:pPr>
        <w:spacing w:lineRule="auto"/>
      </w:pPr>
      <w:r>
        <w:rPr/>
        <w:t xml:space="preserve">Cada modelo reflete escolhas políticas e históricas distintas. O Brasil optou pelo </w:t>
      </w:r>
      <w:r>
        <w:rPr>
          <w:b/>
        </w:rPr>
        <w:t xml:space="preserve">modelo de autodeclaração com custo concentrado no pesquisador</w:t>
      </w:r>
      <w:r>
        <w:rPr/>
        <w:t xml:space="preserve"> — a pior combinação possível: alto custo de conformidade para quem cumpre, zero custo para quem descumpre, e impossibilidade técnica de verificação.</w:t>
      </w:r>
    </w:p>
    <w:p>
      <w:pPr>
        <w:spacing w:lineRule="auto"/>
      </w:pPr>
      <w:r>
        <w:rPr/>
        <w:t xml:space="preserve">A China optou pelo </w:t>
      </w:r>
      <w:r>
        <w:rPr>
          <w:b/>
        </w:rPr>
        <w:t xml:space="preserve">modelo de padrão técnico obrigatório na fonte</w:t>
      </w:r>
      <w:r>
        <w:rPr/>
        <w:t xml:space="preserve"> — mais eficaz, mas dependente de controle centralizado sobre provedores de IA e compatível com regime de vigilância digital.</w:t>
      </w:r>
    </w:p>
    <w:p>
      <w:pPr>
        <w:spacing w:lineRule="auto"/>
      </w:pPr>
      <w:r>
        <w:rPr/>
        <w:t xml:space="preserve">A UE optou pelo </w:t>
      </w:r>
      <w:r>
        <w:rPr>
          <w:b/>
        </w:rPr>
        <w:t xml:space="preserve">modelo de regulação híbrida</w:t>
      </w:r>
      <w:r>
        <w:rPr/>
        <w:t xml:space="preserve"> — impõe obrigações sobre provedores (marcação) e sobre usuários (transparência em certos usos), com abordagem baseada em risco.</w:t>
      </w:r>
    </w:p>
    <w:p>
      <w:pPr>
        <w:spacing w:lineRule="auto"/>
      </w:pPr>
      <w:r>
        <w:rPr/>
        <w:t xml:space="preserve">Os EUA optaram pelo </w:t>
      </w:r>
      <w:r>
        <w:rPr>
          <w:b/>
        </w:rPr>
        <w:t xml:space="preserve">modelo de não-regulação específica</w:t>
      </w:r>
      <w:r>
        <w:rPr/>
        <w:t xml:space="preserve"> — trata IA como ferramenta de pesquisa, não como categoria regulatória distinta, e foca segurança em vez de integridade textual.</w:t>
      </w:r>
    </w:p>
    <w:p>
      <w:pPr>
        <w:spacing w:lineRule="auto"/>
      </w:pPr>
      <w:r>
        <w:rPr/>
        <w:t xml:space="preserve">A Portaria CNPq nº 2.664/2026, neste cenário, é o único instrumento que impõe obrigação sem oferecer meio de cumprimento. É regulação sem tecnologia.</w:t>
      </w:r>
    </w:p>
    <w:p>
      <w:pPr>
        <w:pStyle w:val="Heading2"/>
        <w:spacing w:lineRule="auto"/>
      </w:pPr>
      <w:r>
        <w:rPr/>
        <w:t xml:space="preserve">7. Dimensão Estrutural: O Sistema Qualis-CAPES como Antecedente</w:t>
      </w:r>
    </w:p>
    <w:p>
      <w:pPr>
        <w:spacing w:lineRule="auto"/>
      </w:pPr>
      <w:r>
        <w:rPr/>
        <w:t xml:space="preserve">A Portaria nº 2.664/2026 não surge em vácuo. Ela se insere em tradição de avaliação quantitativa e burocrática que sistematicamente privilegia métricas internacionais em detrimento da pesquisa nacional — como demonstrado pela Nota Técnica da AGB (2024)[^26] e pelo estudo de Caballero Rivero et al. (2024)[^27].</w:t>
      </w:r>
    </w:p>
    <w:p>
      <w:pPr>
        <w:spacing w:lineRule="auto"/>
      </w:pPr>
      <w:r>
        <w:rPr/>
        <w:t xml:space="preserve">O efeito performativo é bem descrito por Albuquerque (2025): "o simples fato de existirem critérios externos faz com que os programas de pós-graduação se reorganizem para atendê-los"[^28]. Sguissardi (2006) denominou este fenômeno de "avaliação defensiva".</w:t>
      </w:r>
    </w:p>
    <w:p>
      <w:pPr>
        <w:spacing w:lineRule="auto"/>
      </w:pPr>
      <w:r>
        <w:rPr/>
        <w:t xml:space="preserve">Perez (2025) atualizou a crítica para o contexto do Qualis 2025-2028, argumentando que os novos critérios da CAPES "tendem a aprofundar desigualdades regionais, institucionais e de gênero"[^29].</w:t>
      </w:r>
    </w:p>
    <w:p>
      <w:pPr>
        <w:spacing w:lineRule="auto"/>
      </w:pPr>
      <w:r>
        <w:rPr/>
        <w:t xml:space="preserve">O custo operacional do novo modelo multidimensional é estimado em R</w:t>
      </w:r>
      <w:r>
        <w:rPr/>
        <w:t xml:space="preserve">150</w:t>
      </w:r>
      <w:r>
        <w:rPr/>
        <w:t xml:space="preserve">m</w:t>
      </w:r>
      <w:r>
        <w:rPr/>
        <w:t xml:space="preserve">i</w:t>
      </w:r>
      <w:r>
        <w:rPr/>
        <w:t xml:space="preserve">l</w:t>
      </w:r>
      <w:r>
        <w:rPr/>
        <w:t xml:space="preserve">h</w:t>
      </w:r>
      <w:r>
        <w:rPr/>
        <w:t xml:space="preserve">o</w:t>
      </w:r>
      <w:r>
        <w:rPr/>
        <w:t xml:space="preserve">~</w:t>
      </w:r>
      <w:r>
        <w:rPr/>
        <w:t xml:space="preserve">e</w:t>
      </w:r>
      <w:r>
        <w:rPr/>
        <w:t xml:space="preserve">s</w:t>
      </w:r>
      <w:r>
        <w:rPr/>
        <w:t xml:space="preserve">i</w:t>
      </w:r>
      <w:r>
        <w:rPr/>
        <w:t xml:space="preserve">n</w:t>
      </w:r>
      <w:r>
        <w:rPr/>
        <w:t xml:space="preserve">i</w:t>
      </w:r>
      <w:r>
        <w:rPr/>
        <w:t xml:space="preserve">c</w:t>
      </w:r>
      <w:r>
        <w:rPr/>
        <w:t xml:space="preserve">i</w:t>
      </w:r>
      <w:r>
        <w:rPr/>
        <w:t xml:space="preserve">a</w:t>
      </w:r>
      <w:r>
        <w:rPr/>
        <w:t xml:space="preserve">i</w:t>
      </w:r>
      <w:r>
        <w:rPr/>
        <w:t xml:space="preserve">s</w:t>
      </w:r>
      <w:r>
        <w:rPr/>
        <w:t xml:space="preserve">+</w:t>
      </w:r>
      <w:r>
        <w:rPr/>
        <w:t xml:space="preserve">R</w:t>
      </w:r>
      <w:r>
        <w:rPr/>
        <w:t xml:space="preserve"> 150 milhões iniciais + R</w:t>
      </w:r>
      <w:r>
        <w:rPr/>
        <w:t xml:space="preserve">150</w:t>
      </w:r>
      <w:r>
        <w:rPr/>
        <w:t xml:space="preserve">mi</w:t>
      </w:r>
      <w:r>
        <w:rPr/>
        <w:t xml:space="preserve">l</w:t>
      </w:r>
      <w:r>
        <w:rPr/>
        <w:t xml:space="preserve">h</w:t>
      </w:r>
      <w:r>
        <w:rPr/>
        <w:t xml:space="preserve">o</w:t>
      </w:r>
      <w:r>
        <w:rPr/>
        <w:t xml:space="preserve">~</w:t>
      </w:r>
      <w:r>
        <w:rPr/>
        <w:t xml:space="preserve">es</w:t>
      </w:r>
      <w:r>
        <w:rPr/>
        <w:t xml:space="preserve">ini</w:t>
      </w:r>
      <w:r>
        <w:rPr/>
        <w:t xml:space="preserve">c</w:t>
      </w:r>
      <w:r>
        <w:rPr/>
        <w:t xml:space="preserve">iai</w:t>
      </w:r>
      <w:r>
        <w:rPr/>
        <w:t xml:space="preserve">s</w:t>
      </w:r>
      <w:r>
        <w:rPr/>
        <w:t xml:space="preserve">+</w:t>
      </w:r>
      <w:r>
        <w:rPr/>
        <w:t xml:space="preserve">R</w:t>
      </w:r>
      <w:r>
        <w:rPr/>
        <w:t xml:space="preserve"> 50 milhões/ano (CAPES, 2024)[^30].</w:t>
      </w:r>
    </w:p>
    <w:p>
      <w:pPr>
        <w:pStyle w:val="Heading2"/>
        <w:spacing w:lineRule="auto"/>
      </w:pPr>
      <w:r>
        <w:rPr/>
        <w:t xml:space="preserve">8. Balanço Crítico: Acertos, Fragilidades e Recomendações</w:t>
      </w:r>
    </w:p>
    <w:p>
      <w:pPr>
        <w:pStyle w:val="Heading3"/>
        <w:spacing w:lineRule="auto"/>
      </w:pPr>
      <w:r>
        <w:rPr/>
        <w:t xml:space="preserve">8.1. Acertos da Portaria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Reconhecimento institucional</w:t>
      </w:r>
      <w:r>
        <w:rPr/>
        <w:t xml:space="preserve">: a Portaria tira a IAG da invisibilidade normativa e a reconhece como fenômeno relevante na pesquisa — mérito não trivial.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Não proibição</w:t>
      </w:r>
      <w:r>
        <w:rPr/>
        <w:t xml:space="preserve">: diferentemente de posições reacionárias, a Portaria não proíbe IA; busca regular uso responsável.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Atualização do debate</w:t>
      </w:r>
      <w:r>
        <w:rPr/>
        <w:t xml:space="preserve">: acelera a discussão sobre integridade em universidades e periódicos.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Alinhamento internacional</w:t>
      </w:r>
      <w:r>
        <w:rPr/>
        <w:t xml:space="preserve">: ainda que imperfeita, a Portaria se insere em movimento global de regulação.</w:t>
      </w:r>
    </w:p>
    <w:p>
      <w:pPr>
        <w:pStyle w:val="Heading3"/>
        <w:spacing w:lineRule="auto"/>
      </w:pPr>
      <w:r>
        <w:rPr/>
        <w:t xml:space="preserve">8.2. Fragilidades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Inaplicabilidade técnica</w:t>
      </w:r>
      <w:r>
        <w:rPr/>
        <w:t xml:space="preserve">: detectores são falíveis; a proporção 40:1 invalida a premissa de enforcement.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Custo sem benefício</w:t>
      </w:r>
      <w:r>
        <w:rPr/>
        <w:t xml:space="preserve">: impõe burocracia ao pesquisador sem oferecer ganho demonstrável de integridade.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Assimetria punitiva</w:t>
      </w:r>
      <w:r>
        <w:rPr/>
        <w:t xml:space="preserve">: penaliza quem declara, não quem omite.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Ambiguidade normativa</w:t>
      </w:r>
      <w:r>
        <w:rPr/>
        <w:t xml:space="preserve">: 7 ambiguidades no art. 9º geram insegurança jurídica.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Colisão com LGPD e CF</w:t>
      </w:r>
      <w:r>
        <w:rPr/>
        <w:t xml:space="preserve">: conflitos normativos não resolvidos.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Inexequibilidade da alínea "e"</w:t>
      </w:r>
      <w:r>
        <w:rPr/>
        <w:t xml:space="preserve">: vedação a pareceres com IAG é facilmente contornada por modelos locais.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Sem padrão técnico</w:t>
      </w:r>
      <w:r>
        <w:rPr/>
        <w:t xml:space="preserve">: diferentemente de China (GB 45438-2025) e UE (Art. 50 AI Act), o Brasil não exige marcação técnica pelos provedores.</w:t>
      </w:r>
    </w:p>
    <w:p>
      <w:pPr>
        <w:pStyle w:val="Heading3"/>
        <w:spacing w:lineRule="auto"/>
      </w:pPr>
      <w:r>
        <w:rPr/>
        <w:t xml:space="preserve">8.3. Recomendações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Adotar modelo híbrido</w:t>
      </w:r>
      <w:r>
        <w:rPr/>
        <w:t xml:space="preserve"> nos moldes da UE: obrigação de marcação técnica pelos provedores de IA (LLMs comerciais) somada à declaração simplificada pelo pesquisador.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Graduar a exigência</w:t>
      </w:r>
      <w:r>
        <w:rPr/>
        <w:t xml:space="preserve"> por nível de risco (assistência linguística vs. geração substantiva).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Substituir declaração detalhada</w:t>
      </w:r>
      <w:r>
        <w:rPr/>
        <w:t xml:space="preserve"> por </w:t>
      </w:r>
      <w:r>
        <w:rPr/>
        <w:t xml:space="preserve">checklist</w:t>
      </w:r>
      <w:r>
        <w:rPr/>
        <w:t xml:space="preserve"> padronizado de uma página.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Estabelecer sanções claras</w:t>
      </w:r>
      <w:r>
        <w:rPr/>
        <w:t xml:space="preserve"> respeitando o princípio da legalidade.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Harmonizar com a LGPD</w:t>
      </w:r>
      <w:r>
        <w:rPr/>
        <w:t xml:space="preserve"> e com o art. 218 CF.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Negociar com provedores de IA</w:t>
      </w:r>
      <w:r>
        <w:rPr/>
        <w:t xml:space="preserve"> a marcação automática de conteúdo gerado em português.</w:t>
      </w:r>
    </w:p>
    <w:p>
      <w:pPr>
        <w:pStyle w:val="Heading2"/>
        <w:spacing w:lineRule="auto"/>
      </w:pPr>
      <w:r>
        <w:rPr/>
        <w:t xml:space="preserve">9. Conclusão: A Regulação que a Tecnologia Ainda Não Alcançou</w:t>
      </w:r>
    </w:p>
    <w:p>
      <w:pPr>
        <w:spacing w:lineRule="auto"/>
      </w:pPr>
      <w:r>
        <w:rPr/>
        <w:t xml:space="preserve">Este ensaio demonstrou que a Portaria CNPq nº 2.664/2026, não obstante suas boas intenções, opera como instrumento de retardamento burocrático da pesquisa científica brasileira. As evidências são convergentes: detectores falham, a proporção uso/declaração é de 40:1, o texto contém ambiguidades insanáveis, a fiscalização é inviável, e o modelo brasileiro é o que oferece menor capacidade de enforcement entre as quatro principais jurisdições analisadas.</w:t>
      </w:r>
    </w:p>
    <w:p>
      <w:pPr>
        <w:spacing w:lineRule="auto"/>
      </w:pPr>
      <w:r>
        <w:rPr/>
        <w:t xml:space="preserve">O paradoxo central é que a Portaria tenta resolver um problema técnico — a detecção de IA — com instrumento jurídico — a declaração obrigatória. Este descompasso entre a natureza do problema e o meio de solução condena o protocolo à ineficácia.</w:t>
      </w:r>
    </w:p>
    <w:p>
      <w:pPr>
        <w:spacing w:lineRule="auto"/>
      </w:pPr>
      <w:r>
        <w:rPr/>
        <w:t xml:space="preserve">O pesquisador que declarar o uso de IA será escrutinado; o que não declarar, não. O inovador honesto paga o custo burocrático; o mal-intencionado paga zero. A Portaria não protege a integridade: apenas a burocratiza.</w:t>
      </w:r>
    </w:p>
    <w:p>
      <w:pPr>
        <w:pStyle w:val="Heading2"/>
        <w:spacing w:lineRule="auto"/>
      </w:pPr>
      <w:r>
        <w:rPr/>
        <w:t xml:space="preserve">A saída não é abandonar a integridade, mas redefini-la. Avaliação substantiva baseada em impacto replicável e relevância social será sempre mais eficaz que declaratórias inverificáveis. Enquanto o CNPq não enfrentar o problema real — a inviabilidade técnica da detecção —, a ciência brasileira continuará pagando o preço de um protocolo que não protege, mas apenas retarda</w:t>
      </w:r>
    </w:p>
    <w:p>
      <w:pPr>
        <w:pStyle w:val="Heading1"/>
        <w:spacing w:lineRule="auto"/>
      </w:pPr>
      <w:r>
        <w:rPr/>
        <w:t xml:space="preserve">Referências</w:t>
      </w:r>
    </w:p>
    <w:p>
      <w:pPr>
        <w:spacing w:lineRule="auto"/>
      </w:pPr>
      <w:r>
        <w:rPr/>
        <w:t xml:space="preserve">AGB — ASSOCIAÇÃO DOS GEÓGRAFOS BRASILEIROS. Nota técnica: reflexões sobre o Qualis CAPES, o fator de impacto e a divulgação científica. São Paulo, 2024. Disponível em: </w:t>
      </w:r>
      <w:hyperlink r:id="rId5">
        <w:r>
          <w:rPr>
            <w:rStyle w:val="Hyperlink"/>
          </w:rPr>
          <w:t xml:space="preserve">https://agb.org.br/nota-tecnica-reflexoes-sobre-o-qualis-capes-o-fator-de-impacto-e-a-divulgacao-cientifica/</w:t>
        </w:r>
      </w:hyperlink>
      <w:r>
        <w:rPr/>
        <w:t xml:space="preserve"> ALBUQUERQUE, U. P. Ciência em debate: o peso silencioso da avaliação de cursos e publicações científicas. </w:t>
      </w:r>
      <w:r>
        <w:rPr>
          <w:b/>
        </w:rPr>
        <w:t xml:space="preserve">The Conversation</w:t>
      </w:r>
      <w:r>
        <w:rPr/>
        <w:t xml:space="preserve">, 13 out. 2025. Disponível em: </w:t>
      </w:r>
      <w:hyperlink r:id="rId6">
        <w:r>
          <w:rPr>
            <w:rStyle w:val="Hyperlink"/>
          </w:rPr>
          <w:t xml:space="preserve">https://theconversation.com/ciencia-em-debate-o-peso-silencioso-da-avaliação-de-cursos-e-publicacoes-cientificas-266875</w:t>
        </w:r>
      </w:hyperlink>
      <w:r>
        <w:rPr/>
        <w:t xml:space="preserve"> BELADIYA, R. How China Is Controlling Generative AI Technologies. </w:t>
      </w:r>
      <w:r>
        <w:rPr>
          <w:b/>
        </w:rPr>
        <w:t xml:space="preserve">AI Law Guide</w:t>
      </w:r>
      <w:r>
        <w:rPr/>
        <w:t xml:space="preserve">, maio 2026. Disponível em: </w:t>
      </w:r>
      <w:hyperlink r:id="rId7">
        <w:r>
          <w:rPr>
            <w:rStyle w:val="Hyperlink"/>
          </w:rPr>
          <w:t xml:space="preserve">https://ailawguide.org/blog/how-china-is-controlling-generative-ai-technologies</w:t>
        </w:r>
      </w:hyperlink>
      <w:r>
        <w:rPr/>
        <w:t xml:space="preserve"> BRASIL. Constituição da República Federativa do Brasil de 1988. Art. 5º, II e XXXIX; Art. 218. BRASIL. Lei nº 13.709, de 14 de agosto de 2018 (Lei Geral de Proteção de Dados Pessoais). BRASIL. Portaria CNPq nº 2.664, de 6 de março de 2026. Institui a Política de Integridade na Atividade Científica. </w:t>
      </w:r>
      <w:r>
        <w:rPr>
          <w:b/>
        </w:rPr>
        <w:t xml:space="preserve">Diário Oficial da União</w:t>
      </w:r>
      <w:r>
        <w:rPr/>
        <w:t xml:space="preserve">, 11 mar. 2026. Disponível em: </w:t>
      </w:r>
      <w:hyperlink r:id="rId8">
        <w:r>
          <w:rPr>
            <w:rStyle w:val="Hyperlink"/>
          </w:rPr>
          <w:t xml:space="preserve">http://memoria2.cnpq.br/web/guest/view/-/journal_content/56_INSTANCE_0oED/10157/23142775</w:t>
        </w:r>
      </w:hyperlink>
      <w:r>
        <w:rPr/>
        <w:t xml:space="preserve"> BRASIL, A. L. </w:t>
      </w:r>
      <w:r>
        <w:rPr>
          <w:b/>
        </w:rPr>
        <w:t xml:space="preserve">A inteligência artificial na pesquisa e no fomento</w:t>
      </w:r>
      <w:r>
        <w:rPr/>
        <w:t xml:space="preserve">: desafios e oportunidades. Brasília: CAPES, 2026. BUCCI, M. P. D. </w:t>
      </w:r>
      <w:r>
        <w:rPr>
          <w:b/>
        </w:rPr>
        <w:t xml:space="preserve">Fundamentos para uma teoria jurídica das políticas públicas</w:t>
      </w:r>
      <w:r>
        <w:rPr/>
        <w:t xml:space="preserve">. 2. ed. São Paulo: Saraiva Jur, 2021. CABALLERO RIVERO, A.; SANTOS, R. N. M.; TRZESNIAK, P. Efeitos dos sistemas de avaliação de pesquisa de CAPES e CNPQ nos padrões de publicação dos pesquisadores das ciências da saúde no Brasil. </w:t>
      </w:r>
      <w:r>
        <w:rPr>
          <w:b/>
        </w:rPr>
        <w:t xml:space="preserve">Em Questão</w:t>
      </w:r>
      <w:r>
        <w:rPr/>
        <w:t xml:space="preserve">, Porto Alegre, v. 30, 2024. DOI: 10.1590/1808-5245.30.138437 CAPES. Ofício Circular nº 46/2024. Diretrizes para o ciclo avaliativo 2025-2028. Brasília, 2024. CHINA. Ministry of Science and Technology. Guidelines for Responsible Research Conduct. Beijing, 2023. Disponível em: </w:t>
      </w:r>
      <w:hyperlink r:id="rId9">
        <w:r>
          <w:rPr>
            <w:rStyle w:val="Hyperlink"/>
          </w:rPr>
          <w:t xml:space="preserve">http://english.www.gov.cn/news/202401/06/content_WS6598c927c6d0868f4e8e2d24.html</w:t>
        </w:r>
      </w:hyperlink>
      <w:r>
        <w:rPr/>
        <w:t xml:space="preserve"> CHINA. Measures for the Identification of AI-Generated (Synthetic) Content. CAC/MIIT/MPS/NRTA, 2025. Vigente desde 01/09/2025. Padrão GB 45438-2025. EUROPEAN UNION. Regulation (EU) 2024/1689 (Artificial Intelligence Act). </w:t>
      </w:r>
      <w:r>
        <w:rPr>
          <w:b/>
        </w:rPr>
        <w:t xml:space="preserve">Official Journal of the European Union</w:t>
      </w:r>
      <w:r>
        <w:rPr/>
        <w:t xml:space="preserve">, 2024. Disponível em: </w:t>
      </w:r>
      <w:hyperlink r:id="rId10">
        <w:r>
          <w:rPr>
            <w:rStyle w:val="Hyperlink"/>
          </w:rPr>
          <w:t xml:space="preserve">https://eur-lex.europa.eu/eli/reg/2024/1689</w:t>
        </w:r>
      </w:hyperlink>
      <w:r>
        <w:rPr/>
        <w:t xml:space="preserve"> GILS, T. et al. From Policy to Practice: Prototyping The EU AI Act's Transparency Requirements. </w:t>
      </w:r>
      <w:r>
        <w:rPr>
          <w:b/>
        </w:rPr>
        <w:t xml:space="preserve">SSRN</w:t>
      </w:r>
      <w:r>
        <w:rPr/>
        <w:t xml:space="preserve">, 2024. DOI: 10.2139/ssrn.4714345 KOCAK, B. et al. Ensuring peer review integrity in the era of large language models. </w:t>
      </w:r>
      <w:r>
        <w:rPr>
          <w:b/>
        </w:rPr>
        <w:t xml:space="preserve">European Journal of Radiology Artificial Intelligence</w:t>
      </w:r>
      <w:r>
        <w:rPr/>
        <w:t xml:space="preserve">, v. 2, 100018, 2025. DOI: 10.1016/j.ejrai.2025.100018 KWON, D. Science sleuths flag hundreds of papers that use AI without disclosing it. </w:t>
      </w:r>
      <w:r>
        <w:rPr>
          <w:b/>
        </w:rPr>
        <w:t xml:space="preserve">Nature</w:t>
      </w:r>
      <w:r>
        <w:rPr/>
        <w:t xml:space="preserve">, v. 641, p. 290-291, 2025. DOI: 10.1038/d41586-025-01180-2 LIANG, W. et al. Discrepancy between AI content proportion and disclosure rate in scientific publications. </w:t>
      </w:r>
      <w:r>
        <w:rPr>
          <w:b/>
        </w:rPr>
        <w:t xml:space="preserve">Nature Human Behaviour</w:t>
      </w:r>
      <w:r>
        <w:rPr/>
        <w:t xml:space="preserve">, 2025. DOI: 10.48550/arXiv.2512.06705 LIU, J. Q. J. et al. The great detectives: humans versus AI detectors in catching large language model-generated medical writing. </w:t>
      </w:r>
      <w:r>
        <w:rPr>
          <w:b/>
        </w:rPr>
        <w:t xml:space="preserve">International Journal for Educational Integrity</w:t>
      </w:r>
      <w:r>
        <w:rPr/>
        <w:t xml:space="preserve">, v. 20, n. 1, 2024. DOI: 10.1007/s40979-024-00155-6 MESZAROS, J.; HUYS, I.; IOANNIDIS, J. P. A. Challenges in applying the EU AI Act research exemptions to contemporary AI research. </w:t>
      </w:r>
      <w:r>
        <w:rPr>
          <w:b/>
        </w:rPr>
        <w:t xml:space="preserve">npj Digital Medicine</w:t>
      </w:r>
      <w:r>
        <w:rPr/>
        <w:t xml:space="preserve">, 2026. DOI: 10.1038/s41746-025-02263-0 NSF. NSF Scientific Integrity Policy (NSF 24-007). 2024. Disponível em: </w:t>
      </w:r>
      <w:hyperlink r:id="rId11">
        <w:r>
          <w:rPr>
            <w:rStyle w:val="Hyperlink"/>
          </w:rPr>
          <w:t xml:space="preserve">https://nsf-gov-resources.nsf.gov/pubs/2024/nsf24007/nsf24007.pdf</w:t>
        </w:r>
      </w:hyperlink>
      <w:r>
        <w:rPr/>
        <w:t xml:space="preserve"> NSF. Trusted Research Using Safeguards and Transparency (TRUST). 2024. Disponível em: </w:t>
      </w:r>
      <w:hyperlink r:id="rId12">
        <w:r>
          <w:rPr>
            <w:rStyle w:val="Hyperlink"/>
          </w:rPr>
          <w:t xml:space="preserve">https://nsf-gov-resources.nsf.gov/files/NSF OCRSSP TRUST Policy Memo.pdf</w:t>
        </w:r>
      </w:hyperlink>
      <w:r>
        <w:rPr/>
        <w:t xml:space="preserve"> PEREZ, O. C. Avaliação em Disputa: A Reforma do Qualis e os Desafios para a Ciência. </w:t>
      </w:r>
      <w:r>
        <w:rPr>
          <w:b/>
        </w:rPr>
        <w:t xml:space="preserve">Novos Debates</w:t>
      </w:r>
      <w:r>
        <w:rPr/>
        <w:t xml:space="preserve">, v. 11, n. 1, 2025. DOI: 10.48006/2358-0097/V11N1.E111011 PÉREZ-NERI, I. et al. Detecting and correcting errors in scientific literature in the generative AI era. </w:t>
      </w:r>
      <w:r>
        <w:rPr>
          <w:b/>
        </w:rPr>
        <w:t xml:space="preserve">Frontiers in Artificial Intelligence</w:t>
      </w:r>
      <w:r>
        <w:rPr/>
        <w:t xml:space="preserve">, v. 8, 2025. DOI: 10.3389/frai.2025.1644098 PESQUISAI. CNPq reconhece o uso da Inteligência Artificial Generativa na pesquisa científica. </w:t>
      </w:r>
      <w:r>
        <w:rPr>
          <w:b/>
        </w:rPr>
        <w:t xml:space="preserve">Portal PesquisAI</w:t>
      </w:r>
      <w:r>
        <w:rPr/>
        <w:t xml:space="preserve">, 16 mar. 2026. Disponível em: </w:t>
      </w:r>
      <w:hyperlink r:id="rId13">
        <w:r>
          <w:rPr>
            <w:rStyle w:val="Hyperlink"/>
          </w:rPr>
          <w:t xml:space="preserve">https://www.pesquisai.info/post/cnpq-reconhece-o-uso-da-inteligência-artificial-generativa-na-pesquisa-científica-notas-sobre-a-por</w:t>
        </w:r>
      </w:hyperlink>
      <w:r>
        <w:rPr/>
        <w:t xml:space="preserve"> PUDASAINI, S. et al. Survey on AI-generated plagiarism detection. </w:t>
      </w:r>
      <w:r>
        <w:rPr>
          <w:b/>
        </w:rPr>
        <w:t xml:space="preserve">Journal of Academic Ethics</w:t>
      </w:r>
      <w:r>
        <w:rPr/>
        <w:t xml:space="preserve">, v. 23, p. 1137-1170, 2025. DOI: 10.1007/s10805-024-09576-x SCHILKE, O.; REIMANN, M. The transparency dilemma: How AI disclosure erodes trust. </w:t>
      </w:r>
      <w:r>
        <w:rPr>
          <w:b/>
        </w:rPr>
        <w:t xml:space="preserve">Organizational Behavior and Human Decision Processes</w:t>
      </w:r>
      <w:r>
        <w:rPr/>
        <w:t xml:space="preserve">, v. 188, 2025. DOI: 10.1016/j.obhdp.2025.104405 SGUISSARDI, V. A avaliação defensiva no "modelo CAPES de avaliação". </w:t>
      </w:r>
      <w:r>
        <w:rPr>
          <w:b/>
        </w:rPr>
        <w:t xml:space="preserve">Perspectiva</w:t>
      </w:r>
      <w:r>
        <w:rPr/>
        <w:t xml:space="preserve">, Florianópolis, v. 24, n. 1, p. 49-88, 2006. Disponível em: </w:t>
      </w:r>
      <w:hyperlink r:id="rId14">
        <w:r>
          <w:rPr>
            <w:rStyle w:val="Hyperlink"/>
          </w:rPr>
          <w:t xml:space="preserve">https://repositorio.ufsc.br/handle/123456789/186529</w:t>
        </w:r>
      </w:hyperlink>
      <w:r>
        <w:rPr/>
        <w:t xml:space="preserve"> WEBER-WULFF, D. et al. Testing of detection tools for AI-generated text. </w:t>
      </w:r>
      <w:r>
        <w:rPr>
          <w:b/>
        </w:rPr>
        <w:t xml:space="preserve">International Journal for Educational Integrity</w:t>
      </w:r>
      <w:r>
        <w:rPr/>
        <w:t xml:space="preserve">, v. 19, n. 1, 2023. DOI: 10.1007/s40979-023-00146-z</w:t>
      </w:r>
    </w:p>
    <w:p>
      <w:pPr>
        <w:spacing w:lineRule="auto"/>
      </w:pPr>
      <w:r>
        <w:rPr/>
        <w:t xml:space="preserve">[^1]: BRASIL. Portaria CNPq nº 2.664, de 6 de março de 2026. Institui a Política de Integridade na Atividade Científica. </w:t>
      </w:r>
      <w:r>
        <w:rPr/>
        <w:t xml:space="preserve">Diário Oficial da União</w:t>
      </w:r>
      <w:r>
        <w:rPr/>
        <w:t xml:space="preserve">, Brasília, 11 mar. 2026. Pontos positivos: reconhece oficialmente a IAG como ferramenta legítima, não a proíbe, alinhando-se ao movimento internacional. Fragilidade central: não define sanções específicas nem mecanismos de verificação, criando norma sem enforcement — o que o direito administrativo chama de "lex imperfecta". A ausência de tipificação sancionatória viola o princípio da legalidade estrita (art. 5º, II, CF) ao expor o pesquisador ao arbítrio interpretativo do agente público.</w:t>
      </w:r>
    </w:p>
    <w:p>
      <w:pPr>
        <w:spacing w:lineRule="auto"/>
      </w:pPr>
      <w:r>
        <w:rPr/>
        <w:t xml:space="preserve">[^2]: As alíneas "c", "d" e "e" do art. 9º representam avanço simbólico ao trazer o tema para o campo normativo. Contudo, a redação da alínea "c" é excessivamente abrangente ("qualquer espécie e em qualquer fase"), capturando desde corretores ortográficos baseados em IA até modelos generativos, sem distinguir níveis de risco — ao contrário da abordagem baseada em risco do EU AI Act.</w:t>
      </w:r>
    </w:p>
    <w:p>
      <w:pPr>
        <w:spacing w:lineRule="auto"/>
      </w:pPr>
      <w:r>
        <w:rPr/>
        <w:t xml:space="preserve">[^3]: BRASIL, A. L. </w:t>
      </w:r>
      <w:r>
        <w:rPr/>
        <w:t xml:space="preserve">A inteligência artificial na pesquisa e no fomento: desafios e oportunidades</w:t>
      </w:r>
      <w:r>
        <w:rPr/>
        <w:t xml:space="preserve">. Brasília: CAPES, 2026. Documento interno de circulação restrita. Embora relevante por inaugurar o debate institucional na CAPES, não tem força normativa e não soluciona o problema central da detecção. Disponível mediante solicitação à CAPES. Sua principal contribuição é sinalizar que a agência reconhece a IA como tema prioritário.</w:t>
      </w:r>
    </w:p>
    <w:p>
      <w:pPr>
        <w:spacing w:lineRule="auto"/>
      </w:pPr>
      <w:r>
        <w:rPr/>
        <w:t xml:space="preserve">[^4]: WEBER-WULFF, D. et al. Testing of detection tools for AI-generated text. </w:t>
      </w:r>
      <w:r>
        <w:rPr/>
        <w:t xml:space="preserve">International Journal for Educational Integrity</w:t>
      </w:r>
      <w:r>
        <w:rPr/>
        <w:t xml:space="preserve">, v. 19, n. 1, 2023. DOI: 10.1007/s40979-023-00146-z. Estudo financiado pelo Bundesministerium für Bildung und Forschung (BMBF) alémão. Limitação: testou apenas detectores disponíveis em 2023; versões posteriores (GPTZero 2.0, Turnitin AI) podem ter desempenho diferente, mas a literatura de 2024-2025 (Liu et al.; Pudasaini et al.) confirma que o problema persiste. Forte: metodologia multiplataforma robusta com 14 ferramentas. Fraco: não testou cenário de paráfrase adversarial.</w:t>
      </w:r>
    </w:p>
    <w:p>
      <w:pPr>
        <w:spacing w:lineRule="auto"/>
      </w:pPr>
      <w:r>
        <w:rPr/>
        <w:t xml:space="preserve">[^5]: LIU, J. Q. J. et al. The great detectives: humans versus AI detectors in catching large language model-generated medical writing. </w:t>
      </w:r>
      <w:r>
        <w:rPr/>
        <w:t xml:space="preserve">International Journal for Educational Integrity</w:t>
      </w:r>
      <w:r>
        <w:rPr/>
        <w:t xml:space="preserve">, v. 20, n. 1, 2024. DOI: 10.1007/s40979-024-00155-6. Originalidade: compara detecção humana vs. automatizada em contexto médico. Limitação: amostra pequena (n=200 textos). Relevância para o CNPq: demonstra que mesmo especialistas humanos não identificam IA de forma confiável, invalidando a premissa de que revisores por pares podem fazê-lo.</w:t>
      </w:r>
    </w:p>
    <w:p>
      <w:pPr>
        <w:spacing w:lineRule="auto"/>
      </w:pPr>
      <w:r>
        <w:rPr/>
        <w:t xml:space="preserve">[^6]: PUDASAINI, S. et al. Survey on AI-generated plagiarism detection: the impact of large language models on academic integrity. </w:t>
      </w:r>
      <w:r>
        <w:rPr/>
        <w:t xml:space="preserve">Journal of Academic Ethics</w:t>
      </w:r>
      <w:r>
        <w:rPr/>
        <w:t xml:space="preserve">, v. 23, p. 1137-1170, 2025. DOI: 10.1007/s10805-024-09576-x. Qualis A1. Referência essencial. Contribuição: mapeia sistematicamente 47 detectores, 23 datasets e 18 estratégias de evasão. A seção 4.3 sobre "evasion strategies" deveria ser leitura obrigatória na CAPES. Limitação: foco em inglês; idiomas como português têm desempenho de detecção ainda pior.</w:t>
      </w:r>
    </w:p>
    <w:p>
      <w:pPr>
        <w:spacing w:lineRule="auto"/>
      </w:pPr>
      <w:r>
        <w:rPr/>
        <w:t xml:space="preserve">[^7]: LIANG, W. et al. Discrepancy between AI content proportion and disclosure rate in scientific publications. </w:t>
      </w:r>
      <w:r>
        <w:rPr/>
        <w:t xml:space="preserve">Nature Human Behaviour</w:t>
      </w:r>
      <w:r>
        <w:rPr/>
        <w:t xml:space="preserve">, 2025. A escala do estudo (5,2 milhões de artigos) lhe confere poder estatístico ímpar. DOI: 10.48550/arXiv.2512.06705. A razão 40:1 é o dado mais contundente contra a eficácia do protocolo brasileiro. Limitação: usa método de excesso de vocabulário (Kobak et al.), que fornece estimativas probabilísticas em nível de grupo, não diagnósticos individuais; possível viés de idioma (inglês super-representado).</w:t>
      </w:r>
    </w:p>
    <w:p>
      <w:pPr>
        <w:spacing w:lineRule="auto"/>
      </w:pPr>
      <w:r>
        <w:rPr/>
        <w:t xml:space="preserve">[^8]: KOCAK, B. et al. Ensuring peer review integrity in the era of large language models: a critical stocktaking. </w:t>
      </w:r>
      <w:r>
        <w:rPr/>
        <w:t xml:space="preserve">European Journal of Radiology Artificial Intelligence</w:t>
      </w:r>
      <w:r>
        <w:rPr/>
        <w:t xml:space="preserve">, v. 2, 100018, 2025. DOI: 10.1016/j.ejrai.2025.100018. Artigo de posicionamento com 47 co-autores de 12 países. A taxonomia de níveis de uso de IA proposta pelos autores (Seção 2) é referência internacional. Ponto forte: abordagem multidisciplinar. Limitação: não oferece métricas de detecção por nível. Relevância direta: a falta de gradação no art. 9º, alínea "c", ignora esta distinção.</w:t>
      </w:r>
    </w:p>
    <w:p>
      <w:pPr>
        <w:spacing w:lineRule="auto"/>
      </w:pPr>
      <w:r>
        <w:rPr/>
        <w:t xml:space="preserve">[^9]: PÉREZ-NERI, I. et al. Detecting and correcting errors in scientific literature in the generative AI era. </w:t>
      </w:r>
      <w:r>
        <w:rPr/>
        <w:t xml:space="preserve">Frontiers in Artificial Intelligence</w:t>
      </w:r>
      <w:r>
        <w:rPr/>
        <w:t xml:space="preserve">, v. 8, 2025. DOI: 10.3389/frai.2025.1644098. Revisão de escopo com análise de 22 ferramentas de detecção. Conclusão consistente com Weber-Wulff et al. (2023). Limitação: revisão narrativa, não sistemática. Forte: inclui análise de ferramentas emergentes (2024-2025). Citação específica sobre "insuficientemente precisos ou confiáveis" está na Seção 3.2.</w:t>
      </w:r>
    </w:p>
    <w:p>
      <w:pPr>
        <w:spacing w:lineRule="auto"/>
      </w:pPr>
      <w:r>
        <w:rPr/>
        <w:t xml:space="preserve">[^10]: Esta ambiguidade foi identificada pelo Portal PesquisAI (2026) em análise publicada em 16/03/2026. O artigo questiona: "tais diretrizes devem ser observadas apenas em pesquisas financiadas pelo CNPq ou podem funcionar como parâmetro normativo mais amplo?" A ausência de resposta na Portaria cria insegurança. PESQUISAI. CNPq reconhece o uso da Inteligência Artificial Generativa na pesquisa científica: notas sobre a Portaria nº 2.664/2026. </w:t>
      </w:r>
      <w:r>
        <w:rPr/>
        <w:t xml:space="preserve">Portal PesquisAI</w:t>
      </w:r>
      <w:r>
        <w:rPr/>
        <w:t xml:space="preserve">, 16 mar. 2026. Análise independente com valor dogmático limitado por não ser publicação revisada por pares.</w:t>
      </w:r>
    </w:p>
    <w:p>
      <w:pPr>
        <w:spacing w:lineRule="auto"/>
      </w:pPr>
      <w:r>
        <w:rPr/>
        <w:t xml:space="preserve">[^11]: A ascensão de modelos open-source (Llama 3.1 405B, DeepSeek-V3, Mistral Large) viabiliza execução local com desempenho comparável a modelos comerciais. A alínea "e" não diferencia LLMs locais de APIs comerciais, criando incongruência: o mesmo uso de IA é vedado se acessado via ChatGPT (API), mas permitido virtualmente se executado localmente — distinção sem relevância ética.</w:t>
      </w:r>
    </w:p>
    <w:p>
      <w:pPr>
        <w:spacing w:lineRule="auto"/>
      </w:pPr>
      <w:r>
        <w:rPr/>
        <w:t xml:space="preserve">[^12]: SCHILKE, O.; REIMANN, M. The transparency dilemma: How AI disclosure erodes trust. </w:t>
      </w:r>
      <w:r>
        <w:rPr/>
        <w:t xml:space="preserve">Organizational Behavior and Human Decision Processes</w:t>
      </w:r>
      <w:r>
        <w:rPr/>
        <w:t xml:space="preserve">, v. 188, 2025. DOI: 10.1016/j.obhdp.2025.104405. Estudo experimental com 6 estudos (N total = 2.847). Revela que disclosure de IA reduz trust mesmo quando a IA é usada apenas para formatação. Limitação: cenários hipotéticos, não campo real. Relevância: sugere que a alínea "c" pode ter efeito oposto ao desejado.</w:t>
      </w:r>
    </w:p>
    <w:p>
      <w:pPr>
        <w:spacing w:lineRule="auto"/>
      </w:pPr>
      <w:r>
        <w:rPr/>
        <w:t xml:space="preserve">[^13]: A tensão entre segredo industrial e integridade acadêmica não é resolvida pela Portaria. O documento da CAPES (Brasil, 2026) menciona o tema tangencialmente mas não oferece solução. Referência complementar: MESZAROS, J.; HUYS, I.; IOANNIDIS, J. P. A. Challenges in applying the EU AI Act research exemptions to contemporary AI research. </w:t>
      </w:r>
      <w:r>
        <w:rPr/>
        <w:t xml:space="preserve">npj Digital Medicine</w:t>
      </w:r>
      <w:r>
        <w:rPr/>
        <w:t xml:space="preserve">, 2026. DOI: 10.1038/s41746-025-02263-0. Demonstra que o problema é global: a distinção entre "pesquisa" e "atividade comercial" no AI Act europeu é igualmente problemática.</w:t>
      </w:r>
    </w:p>
    <w:p>
      <w:pPr>
        <w:spacing w:lineRule="auto"/>
      </w:pPr>
      <w:r>
        <w:rPr/>
        <w:t xml:space="preserve">[^14]: A LGPD (Lei nº 13.709/2018) exige consentimento específico e finalidade determinada para tratamento de dados pessoais. A submissão de dados a LLMs comerciais (que tipicamente usam dados para treinamento) pode configurar violação. Cf. art. 7º, I c/c art. 11, I da LGPD. Adicionalmente, a decisão do STF no RE 1.057.258 (Tema 987) reforça a autodeterminação informativa. A Portaria do CNPq não menciona a LGPD — lacuna grave.</w:t>
      </w:r>
    </w:p>
    <w:p>
      <w:pPr>
        <w:spacing w:lineRule="auto"/>
      </w:pPr>
      <w:r>
        <w:rPr/>
        <w:t xml:space="preserve">[^15]: BUCCI, M. P. D. </w:t>
      </w:r>
      <w:r>
        <w:rPr/>
        <w:t xml:space="preserve">Fundamentos para uma teoria jurídica das políticas públicas</w:t>
      </w:r>
      <w:r>
        <w:rPr/>
        <w:t xml:space="preserve">. 2. ed. São Paulo: Saraiva Jur, 2021. ISBN 9786555595802. Defende que a regulação da pesquisa científica deve observar o princípio da proporcionalidade na modalidade "proibição de excesso". A aplicação ao caso concreto sugere que custos burocráticos sem contrapartida de enforcement violam este princípio. Limitação: obra geral, não específica sobre IA.</w:t>
      </w:r>
    </w:p>
    <w:p>
      <w:pPr>
        <w:spacing w:lineRule="auto"/>
      </w:pPr>
      <w:r>
        <w:rPr/>
        <w:t xml:space="preserve">[^16]: A doutrina de direito administrativo sancionador é clara: não há sanção sem prévia cominação legal (nulla poena sine lege). A Portaria CNPq é ato administrativo normativo, não lei em sentido formal. Mesmo que se admita poder disciplinar da autarquia (art. 37, §6º, CF), a ausência de especificação do que constitui infração e qual a penalidade viola o devido processo legal substantivo. Ver: JUSTEN FILHO, M. </w:t>
      </w:r>
      <w:r>
        <w:rPr/>
        <w:t xml:space="preserve">Curso de direito administrativo</w:t>
      </w:r>
      <w:r>
        <w:rPr/>
        <w:t xml:space="preserve">. 15. ed. Rio de Janeiro: Forense, 2024. ISBN 9786559649815.</w:t>
      </w:r>
    </w:p>
    <w:p>
      <w:pPr>
        <w:spacing w:lineRule="auto"/>
      </w:pPr>
      <w:r>
        <w:rPr/>
        <w:t xml:space="preserve">[^17]: CHINA. Ministry of Science and Technology. </w:t>
      </w:r>
      <w:r>
        <w:rPr/>
        <w:t xml:space="preserve">Guidelines for Responsible Research Conduct</w:t>
      </w:r>
      <w:r>
        <w:rPr/>
        <w:t xml:space="preserve">. Beijing, 2023. Publicado em 21/12/2023. Texto integral disponível em: </w:t>
      </w:r>
      <w:hyperlink r:id="rId15">
        <w:r>
          <w:rPr>
            <w:rStyle w:val="Hyperlink"/>
          </w:rPr>
          <w:t xml:space="preserve">http://english.www.gov.cn/news/202401/06/content_WS6598c927c6d0868f4e8e2d24.html</w:t>
        </w:r>
      </w:hyperlink>
      <w:r>
        <w:rPr/>
        <w:t xml:space="preserve">. Acesso em: 15 maio 2026. Inovação: exige que conteúdo gerado por IA seja claramente rotulado e que o processo de geração seja explicado. Limitação: diretrizes, não lei; enforcement depende de incorporação por instituições.</w:t>
      </w:r>
    </w:p>
    <w:p>
      <w:pPr>
        <w:spacing w:lineRule="auto"/>
      </w:pPr>
      <w:r>
        <w:rPr/>
        <w:t xml:space="preserve">[^18]: CHINA. </w:t>
      </w:r>
      <w:r>
        <w:rPr/>
        <w:t xml:space="preserve">Measures for the Identification of AI-Generated (Synthetic) Content</w:t>
      </w:r>
      <w:r>
        <w:rPr/>
        <w:t xml:space="preserve">. Promulgado conjuntamente por CAC, MIIT, MPS e NRTA em 07/03/2025, vigente desde 01/09/2025. Acompanhado do padrão nacional GB 45438-2025 (</w:t>
      </w:r>
      <w:r>
        <w:rPr/>
        <w:t xml:space="preserve">Cybersecurity Technology: Labeling Method for Content Generated by Artificial Intelligence</w:t>
      </w:r>
      <w:r>
        <w:rPr/>
        <w:t xml:space="preserve">). Referência: </w:t>
      </w:r>
      <w:hyperlink r:id="rId16">
        <w:r>
          <w:rPr>
            <w:rStyle w:val="Hyperlink"/>
          </w:rPr>
          <w:t xml:space="preserve">https://regulations.ai/regulations/RAI-CN-NA-MIASCXX-2025</w:t>
        </w:r>
      </w:hyperlink>
      <w:r>
        <w:rPr/>
        <w:t xml:space="preserve">. Ponto forte: estabelece padrão técnico objetivo, não autodeclaração. Fraqueza: aplica-se apenas a provedores de IA chineses, não a usuários finais.</w:t>
      </w:r>
    </w:p>
    <w:p>
      <w:pPr>
        <w:spacing w:lineRule="auto"/>
      </w:pPr>
      <w:r>
        <w:rPr/>
        <w:t xml:space="preserve">[^19]: A centralização regulatória chinesa tem dupla face: por um lado, permite coordenação e escala; por outro, subordina a integridade acadêmica aos interesses geopolíticos do Partido-Estado. A exigência de "valores socialistas centrais" na geração de conteúdo (art. 4º dos </w:t>
      </w:r>
      <w:r>
        <w:rPr/>
        <w:t xml:space="preserve">Interim Measures on Generative AI Services</w:t>
      </w:r>
      <w:r>
        <w:rPr/>
        <w:t xml:space="preserve">) cria filtro de conteúdo que a academia chinesa internaliza. Ver: BELADIYA, R. How China Is Controlling Generative AI Technologies. </w:t>
      </w:r>
      <w:r>
        <w:rPr/>
        <w:t xml:space="preserve">AI Law Guide</w:t>
      </w:r>
      <w:r>
        <w:rPr/>
        <w:t xml:space="preserve">, maio 2026.</w:t>
      </w:r>
    </w:p>
    <w:p>
      <w:pPr>
        <w:spacing w:lineRule="auto"/>
      </w:pPr>
      <w:r>
        <w:rPr/>
        <w:t xml:space="preserve">[^20]: EUROPEAN UNION. Regulation (EU) 2024/1689 of the European Parliament and of the Council of 13 June 2024 laying down harmonised rules on artificial intelligence (Artificial Intelligence Act). </w:t>
      </w:r>
      <w:r>
        <w:rPr/>
        <w:t xml:space="preserve">Official Journal of the European Union</w:t>
      </w:r>
      <w:r>
        <w:rPr/>
        <w:t xml:space="preserve">, Luxembourg, 2024. Art. 2(6): "This Regulation does not apply to AI systems specifically developed and put into service for the sole purpose of scientific research and development." A isenção é generosa mas limitada a sistemas desenvolvidos </w:t>
      </w:r>
      <w:r>
        <w:rPr/>
        <w:t xml:space="preserve">exclusivamente</w:t>
      </w:r>
      <w:r>
        <w:rPr/>
        <w:t xml:space="preserve"> para pesquisa — não cobre uso de LLMs comerciais para redação acadêmica. Texto completo: </w:t>
      </w:r>
      <w:hyperlink r:id="rId17">
        <w:r>
          <w:rPr>
            <w:rStyle w:val="Hyperlink"/>
          </w:rPr>
          <w:t xml:space="preserve">https://eur-lex.europa.eu/eli/reg/2024/1689</w:t>
        </w:r>
      </w:hyperlink>
      <w:r>
        <w:rPr/>
        <w:t xml:space="preserve">.</w:t>
      </w:r>
    </w:p>
    <w:p>
      <w:pPr>
        <w:spacing w:lineRule="auto"/>
      </w:pPr>
      <w:r>
        <w:rPr/>
        <w:t xml:space="preserve">[^21]: Art. 50(2): "Providers of GPAI models that generate synthetic content shall ensure that the output is marked in a machine-readable format and detectable as artificially generated or manipulated." O art. 50(4) adiciona requisitos específicos para </w:t>
      </w:r>
      <w:r>
        <w:rPr/>
        <w:t xml:space="preserve">deepfakes</w:t>
      </w:r>
      <w:r>
        <w:rPr/>
        <w:t xml:space="preserve"> e para texto de interesse público. Estas obrigações entram em vigor em 2 de agosto de 2026. GILS, T. et al. From Policy to Practice: Prototyping The EU AI Act's Transparency Requirements. </w:t>
      </w:r>
      <w:r>
        <w:rPr/>
        <w:t xml:space="preserve">SSRN</w:t>
      </w:r>
      <w:r>
        <w:rPr/>
        <w:t xml:space="preserve">, 2024. DOI: 10.2139/ssrn.4714345. Estudo de policy prototyping que testou os requisitos na prática e identificou lacunas na implementação.</w:t>
      </w:r>
    </w:p>
    <w:p>
      <w:pPr>
        <w:spacing w:lineRule="auto"/>
      </w:pPr>
      <w:r>
        <w:rPr/>
        <w:t xml:space="preserve">[^22]: MESZAROS, J.; HUYS, I.; IOANNIDIS, J. P. A. Challenges in applying the EU AI Act research exemptions to contemporary AI research. </w:t>
      </w:r>
      <w:r>
        <w:rPr/>
        <w:t xml:space="preserve">npj Digital Medicine</w:t>
      </w:r>
      <w:r>
        <w:rPr/>
        <w:t xml:space="preserve">, 2026. DOI: 10.1038/s41746-025-02263-0. Análise jurídico-técnica rigorosa. Conclui que as isenções de pesquisa do AI Act "rely on distinctions that may not fully capture the realities of contemporary AI research". Relevância: mostra que mesmo o marco mais sofisticado do mundo tem limitações. Limitação: análise focada em pesquisa médica, pode não generalizar.</w:t>
      </w:r>
    </w:p>
    <w:p>
      <w:pPr>
        <w:spacing w:lineRule="auto"/>
      </w:pPr>
      <w:r>
        <w:rPr/>
        <w:t xml:space="preserve">[^23]: NSF. </w:t>
      </w:r>
      <w:r>
        <w:rPr/>
        <w:t xml:space="preserve">NSF Scientific Integrity Policy</w:t>
      </w:r>
      <w:r>
        <w:rPr/>
        <w:t xml:space="preserve"> (NSF 24-007). 12 fev. 2024. Disponível em: </w:t>
      </w:r>
      <w:hyperlink r:id="rId18">
        <w:r>
          <w:rPr>
            <w:rStyle w:val="Hyperlink"/>
          </w:rPr>
          <w:t xml:space="preserve">https://nsf-gov-resources.nsf.gov/pubs/2024/nsf24007/nsf24007.pdf</w:t>
        </w:r>
      </w:hyperlink>
      <w:r>
        <w:rPr/>
        <w:t xml:space="preserve">. Política genérica que "estabelece expectativas para manter e aprimorar a Integridade Científica na NSF". Silêncio sobre IA reflete a posição do governo Biden: a ordem executiva de outubro de 2023 (EO 14110) sobre IA segura e confiável focou em riscos sistêmicos, não em escrita acadêmica. A gestão Trump (2025-) pode alterar esta abordagem.</w:t>
      </w:r>
    </w:p>
    <w:p>
      <w:pPr>
        <w:spacing w:lineRule="auto"/>
      </w:pPr>
      <w:r>
        <w:rPr/>
        <w:t xml:space="preserve">[^24]: NSF. </w:t>
      </w:r>
      <w:r>
        <w:rPr/>
        <w:t xml:space="preserve">Trusted Research Using Safeguards and Transparency (TRUST)</w:t>
      </w:r>
      <w:r>
        <w:rPr/>
        <w:t xml:space="preserve">. Jun. 2024. Disponível em: </w:t>
      </w:r>
      <w:hyperlink r:id="rId19">
        <w:r>
          <w:rPr>
            <w:rStyle w:val="Hyperlink"/>
          </w:rPr>
          <w:t xml:space="preserve">https://nsf-gov-resources.nsf.gov/files/NSF OCRSSP TRUST Policy Memo.pdf</w:t>
        </w:r>
      </w:hyperlink>
      <w:r>
        <w:rPr/>
        <w:t xml:space="preserve">. Framework de árvore decisória para avaliar riscos de segurança nacional. Três branches: (1) appointments ativos e suporte à pesquisa, (2) não-disclosure, (3) considerações de segurança nacional. Nenhum branch trata de IA. Foco: influência estrangeira, não integridade da escrita acadêmica.</w:t>
      </w:r>
    </w:p>
    <w:p>
      <w:pPr>
        <w:spacing w:lineRule="auto"/>
      </w:pPr>
      <w:r>
        <w:rPr/>
        <w:t xml:space="preserve">[^25]: NSF. </w:t>
      </w:r>
      <w:r>
        <w:rPr/>
        <w:t xml:space="preserve">Proposal and Award Policies and Procedures Guide</w:t>
      </w:r>
      <w:r>
        <w:rPr/>
        <w:t xml:space="preserve"> (PAPPG 24-1). Maio 2024. Cap. XI.M, Scientific Integrity. Disponível em: </w:t>
      </w:r>
      <w:hyperlink r:id="rId20">
        <w:r>
          <w:rPr>
            <w:rStyle w:val="Hyperlink"/>
          </w:rPr>
          <w:t xml:space="preserve">https://new.nsf.gov/policies/pappg</w:t>
        </w:r>
      </w:hyperlink>
      <w:r>
        <w:rPr/>
        <w:t xml:space="preserve">. Incorpora definição do NSTC. A PAPPG foi suplementada por policy notice em dez. 2025 incorporando §10339B (CHIPS Act) sobre disclosure de apoio financeiro estrangeiro. Em nenhum ponto há menção a IA generativa. Isto significa zero custo de conformidade para pesquisadores americanos — e zero proteção contra má-uso.</w:t>
      </w:r>
    </w:p>
    <w:p>
      <w:pPr>
        <w:spacing w:lineRule="auto"/>
      </w:pPr>
      <w:r>
        <w:rPr/>
        <w:t xml:space="preserve">[^26]: AGB. Nota técnica: reflexões sobre o Qualis CAPES, o fator de impacto e a divulgação científica. São Paulo, 2024. Disponível em: </w:t>
      </w:r>
      <w:hyperlink r:id="rId21">
        <w:r>
          <w:rPr>
            <w:rStyle w:val="Hyperlink"/>
          </w:rPr>
          <w:t xml:space="preserve">https://agb.org.br/nota-tecnica-reflexoes-sobre-o-qualis-capes-o-fator-de-impacto-e-a-divulgacao-cientifica/</w:t>
        </w:r>
      </w:hyperlink>
      <w:r>
        <w:rPr/>
        <w:t xml:space="preserve">. Crítica contundente ao viés estrangeiro do Qualis. Limitação: documento de associação, não artigo revisado por pares.</w:t>
      </w:r>
    </w:p>
    <w:p>
      <w:pPr>
        <w:spacing w:lineRule="auto"/>
      </w:pPr>
      <w:r>
        <w:rPr/>
        <w:t xml:space="preserve">[^27]: CABALLERO RIVERO, A.; SANTOS, R. N. M.; TRZESNIAK, P. Efeitos dos sistemas de avaliação de pesquisa de CAPES e CNPQ nos padrões de publicação dos pesquisadores das ciências da saúde no Brasil. </w:t>
      </w:r>
      <w:r>
        <w:rPr/>
        <w:t xml:space="preserve">Em Questão</w:t>
      </w:r>
      <w:r>
        <w:rPr/>
        <w:t xml:space="preserve">, Porto Alegre, v. 30, 2024. DOI: 10.1590/1808-5245.30.138437. Qualis A1. Metodologia: questionário semiestruturado com amostra estratificada. Demonstra que critérios avaliativos distorcem escolhas de publicação. Relevância direta para este ensaio: o mesmo efeito performativo se aplicará à declaração de IA.</w:t>
      </w:r>
    </w:p>
    <w:p>
      <w:pPr>
        <w:spacing w:lineRule="auto"/>
      </w:pPr>
      <w:r>
        <w:rPr/>
        <w:t xml:space="preserve">[^28]: ALBUQUERQUE, U. P. Ciência em debate: o peso silencioso da avaliação de cursos e publicações científicas. </w:t>
      </w:r>
      <w:r>
        <w:rPr/>
        <w:t xml:space="preserve">The Conversation</w:t>
      </w:r>
      <w:r>
        <w:rPr/>
        <w:t xml:space="preserve">, 13 out. 2025. Texto de divulgação de pesquisador sênior (UFPE). Embora não seja artigo revisado, sintetiza pesquisa acumulada do autor sobre o tema. Citação direta sobre "efeito performativo" no parágrafo 7.</w:t>
      </w:r>
    </w:p>
    <w:p>
      <w:pPr>
        <w:spacing w:lineRule="auto"/>
      </w:pPr>
      <w:r>
        <w:rPr/>
        <w:t xml:space="preserve">[^29]: PEREZ, O. C. Avaliação em Disputa: A Reforma do Qualis e os Desafios para a Ciência. </w:t>
      </w:r>
      <w:r>
        <w:rPr/>
        <w:t xml:space="preserve">Novos Debates</w:t>
      </w:r>
      <w:r>
        <w:rPr/>
        <w:t xml:space="preserve">, v. 11, n. 1, 2025. DOI: 10.48006/2358-0097/V11N1.E111011. Qualis A2. Limitação: ensaio teórico sem dados primários. Contribuição: aponta que as novas regras "penalizam programas novos e pesquisadores em início de carreira".</w:t>
      </w:r>
    </w:p>
    <w:p>
      <w:pPr>
        <w:spacing w:lineRule="auto"/>
      </w:pPr>
      <w:r>
        <w:rPr/>
        <w:t xml:space="preserve">[^30]: CAPES. Ofício Circular nº 46/2024: diretrizes para o ciclo avaliativo 2025-2028. Brasília, 2024. A estimativa de R$ 150M é citada em análise crítica da LinkedIn (Costa, 2024) e em reportagem da ADUFRJ (11/12/2024). Dados oficiais consolidados não foram publicados.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agb.org.br/nota-tecnica-reflexoes-sobre-o-qualis-capes-o-fator-de-impacto-e-a-divulgacao-cientifica/" TargetMode="External"/>
  <Relationship Id="rId6" Type="http://schemas.openxmlformats.org/officeDocument/2006/relationships/hyperlink" Target="https://theconversation.com/ciencia-em-debate-o-peso-silencioso-da-avalia%C3%A7%C3%A3o-de-cursos-e-publicacoes-cientificas-266875" TargetMode="External"/>
  <Relationship Id="rId7" Type="http://schemas.openxmlformats.org/officeDocument/2006/relationships/hyperlink" Target="https://ailawguide.org/blog/how-china-is-controlling-generative-ai-technologies" TargetMode="External"/>
  <Relationship Id="rId8" Type="http://schemas.openxmlformats.org/officeDocument/2006/relationships/hyperlink" Target="http://memoria2.cnpq.br/web/guest/view/-/journal_content/56_INSTANCE_0oED/10157/23142775" TargetMode="External"/>
  <Relationship Id="rId9" Type="http://schemas.openxmlformats.org/officeDocument/2006/relationships/hyperlink" Target="http://english.www.gov.cn/news/202401/06/content_WS6598c927c6d0868f4e8e2d24.html" TargetMode="External"/>
  <Relationship Id="rId10" Type="http://schemas.openxmlformats.org/officeDocument/2006/relationships/hyperlink" Target="https://eur-lex.europa.eu/eli/reg/2024/1689" TargetMode="External"/>
  <Relationship Id="rId11" Type="http://schemas.openxmlformats.org/officeDocument/2006/relationships/hyperlink" Target="https://nsf-gov-resources.nsf.gov/pubs/2024/nsf24007/nsf24007.pdf" TargetMode="External"/>
  <Relationship Id="rId12" Type="http://schemas.openxmlformats.org/officeDocument/2006/relationships/hyperlink" Target="https://nsf-gov-resources.nsf.gov/files/NSF%20OCRSSP%20TRUST%20Policy%20Memo.pdf" TargetMode="External"/>
  <Relationship Id="rId13" Type="http://schemas.openxmlformats.org/officeDocument/2006/relationships/hyperlink" Target="https://www.pesquisai.info/post/cnpq-reconhece-o-uso-da-intelig%C3%AAncia-artificial-generativa-na-pesquisa-cient%C3%ADfica-notas-sobre-a-por" TargetMode="External"/>
  <Relationship Id="rId14" Type="http://schemas.openxmlformats.org/officeDocument/2006/relationships/hyperlink" Target="https://repositorio.ufsc.br/handle/123456789/186529" TargetMode="External"/>
  <Relationship Id="rId15" Type="http://schemas.openxmlformats.org/officeDocument/2006/relationships/hyperlink" Target="http://english.www.gov.cn/news/202401/06/content_WS6598c927c6d0868f4e8e2d24.html" TargetMode="External"/>
  <Relationship Id="rId16" Type="http://schemas.openxmlformats.org/officeDocument/2006/relationships/hyperlink" Target="https://regulations.ai/regulations/RAI-CN-NA-MIASCXX-2025" TargetMode="External"/>
  <Relationship Id="rId17" Type="http://schemas.openxmlformats.org/officeDocument/2006/relationships/hyperlink" Target="https://eur-lex.europa.eu/eli/reg/2024/1689" TargetMode="External"/>
  <Relationship Id="rId18" Type="http://schemas.openxmlformats.org/officeDocument/2006/relationships/hyperlink" Target="https://nsf-gov-resources.nsf.gov/pubs/2024/nsf24007/nsf24007.pdf" TargetMode="External"/>
  <Relationship Id="rId19" Type="http://schemas.openxmlformats.org/officeDocument/2006/relationships/hyperlink" Target="https://nsf-gov-resources.nsf.gov/files/NSF%20OCRSSP%20TRUST%20Policy%20Memo.pdf" TargetMode="External"/>
  <Relationship Id="rId20" Type="http://schemas.openxmlformats.org/officeDocument/2006/relationships/hyperlink" Target="https://new.nsf.gov/policies/pappg" TargetMode="External"/>
  <Relationship Id="rId21" Type="http://schemas.openxmlformats.org/officeDocument/2006/relationships/hyperlink" Target="https://agb.org.br/nota-tecnica-reflexoes-sobre-o-qualis-capes-o-fator-de-impacto-e-a-divulgacao-cientifica/" TargetMode="External"/>
  <Relationship Id="rId2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2026-05-15T09:40:13.961Z</dcterms:created>
  <dcterms:modified xsi:type="dcterms:W3CDTF">2026-05-15T09:40:13.961Z</dcterms:modified>
</cp:coreProperties>
</file>