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4" w:name="X1cc810d3da0c90b62752aeeade661e3ea9495cb"/>
    <w:p>
      <w:pPr>
        <w:pStyle w:val="Heading1"/>
      </w:pPr>
      <w:r>
        <w:t xml:space="preserve">Desenvolvimento educacional em microrregião do Semiárido cearense: o padrão associativo entre desempenho escolar e renda no Sertão de Crateús</w:t>
      </w:r>
    </w:p>
    <w:p>
      <w:pPr>
        <w:pStyle w:val="FirstParagraph"/>
      </w:pPr>
      <w:r>
        <w:rPr>
          <w:b/>
          <w:bCs/>
        </w:rPr>
        <w:t xml:space="preserve">Autor:</w:t>
      </w:r>
      <w:r>
        <w:t xml:space="preserve"> </w:t>
      </w:r>
      <w:r>
        <w:t xml:space="preserve">Marcelo Claro Laranjeira — ORCID: https://orcid.org/0000-0001-8996-2887</w:t>
      </w:r>
    </w:p>
    <w:p>
      <w:r>
        <w:pict>
          <v:rect style="width:0;height:1.5pt" o:hralign="center" o:hrstd="t" o:hr="t"/>
        </w:pict>
      </w:r>
    </w:p>
    <w:bookmarkStart w:id="9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Este estudo testa, na microrregião do Sertão de Crateús (Ceará; nove municípios), a associação entre desempenho escolar (IDEB) e renda municipal, entre e dentro das unidades. Com dados oficiais (INEP 2005–2025; IBGE, PIB real deflacionado pelo IPCA; Censo 2022) e inferência conservadora (bootstrap por cluster; efeitos fixos com erros clusterizados e correção de pequena amostra;</w:t>
      </w:r>
      <w:r>
        <w:t xml:space="preserve"> </w:t>
      </w:r>
      <w:r>
        <w:rPr>
          <w:i/>
          <w:iCs/>
        </w:rPr>
        <w:t xml:space="preserve">wild cluster bootstrap</w:t>
      </w:r>
      <w:r>
        <w:t xml:space="preserve">), os resultados indicam: ausência de associação transversal discernível (r = −0,24; IC95% [−0,77; 0,50]); efeitos fixos não discerníveis de zero (β = 2,61; p = 0,20; p</w:t>
      </w:r>
      <w:r>
        <w:t xml:space="preserve"> </w:t>
      </w:r>
      <w:r>
        <w:rPr>
          <w:i/>
          <w:iCs/>
        </w:rPr>
        <w:t xml:space="preserve">wild</w:t>
      </w:r>
      <w:r>
        <w:t xml:space="preserve"> </w:t>
      </w:r>
      <w:r>
        <w:t xml:space="preserve">= 0,23), com precisão insuficiente (MDES ≈ 6,0); 107 de 108 metas do INEP cumpridas no mesmo ano de referência (99,1%), com ganho médio de 5,93 pontos (2007–2025) sem associação com a renda (r = −0,14). Conclui-se que fatores de política educacional coordenada, e não a variação econômica local, estão associados ao avanço observado.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IDEB; renda; microrregião; Ceará; painel municipal; efeitos fixos;</w:t>
      </w:r>
      <w:r>
        <w:t xml:space="preserve"> </w:t>
      </w:r>
      <w:r>
        <w:rPr>
          <w:i/>
          <w:iCs/>
        </w:rPr>
        <w:t xml:space="preserve">wild cluster bootstrap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study tests, in the Sertão de Crateús microregion (Ceará, Brazil; nine municipalities), the association between school performance (IDEB) and municipal income, across and within units. Using official data (INEP 2005–2025; IBGE real GDP deflated by the IPCA; 2022 Census) and conservative inference (cluster bootstrap; fixed effects with clustered errors and small-sample correction; wild cluster bootstrap), results indicate: no discernible cross-sectional association (r = −0.24; 95% CI [−0.77, 0.50]); fixed effects not discernible from zero (β = 2.61; p = 0.20; wild p = 0.23), with insufficient precision (MDES ≈ 6.0); 107 of 108 INEP targets met in the same reference year (99.1%), with a mean gain of 5.93 points (2007–2025) unrelated to income (r = −0.14). Coordinated education policies, rather than local economic variation, are associated with the observed progress.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IDEB; income; microregion; Ceará; municipal panel; fixed effects; wild cluster bootstrap.</w:t>
      </w:r>
    </w:p>
    <w:p>
      <w:r>
        <w:pict>
          <v:rect style="width:0;height:1.5pt" o:hralign="center" o:hrstd="t" o:hr="t"/>
        </w:pict>
      </w:r>
    </w:p>
    <w:bookmarkEnd w:id="10"/>
    <w:bookmarkStart w:id="11" w:name="introdução"/>
    <w:p>
      <w:pPr>
        <w:pStyle w:val="Heading2"/>
      </w:pPr>
      <w:r>
        <w:t xml:space="preserve">1. Introdução</w:t>
      </w:r>
    </w:p>
    <w:p>
      <w:pPr>
        <w:pStyle w:val="FirstParagraph"/>
      </w:pPr>
      <w:r>
        <w:t xml:space="preserve">A relação entre renda e desempenho educacional é um dos temas mais persistentes da pesquisa em educação comparada. Hanushek e Woessmann (2015) demonstraram que o</w:t>
      </w:r>
      <w:r>
        <w:t xml:space="preserve"> </w:t>
      </w:r>
      <w:r>
        <w:t xml:space="preserve">“capital de conhecimento”</w:t>
      </w:r>
      <w:r>
        <w:t xml:space="preserve"> </w:t>
      </w:r>
      <w:r>
        <w:t xml:space="preserve">de uma nação — medido por habilidades cognitivas, e não apenas por anos de escolaridade — associa-se fortemente ao crescimento econômico de longo prazo. No Brasil, análises de avaliação em larga escala mostram desigualdades substanciais associadas ao nível socioeconômico (Cito; Marôco, 2026), e estudos multiníveis documentam o impacto associativo da pobreza sobre o IDEB (Duarte, 2013; Andrews; Vries, 2012).</w:t>
      </w:r>
    </w:p>
    <w:p>
      <w:pPr>
        <w:pStyle w:val="BodyText"/>
      </w:pPr>
      <w:r>
        <w:t xml:space="preserve">Essa literatura, contudo, concentra-se majoritariamente em duas escalas: a nacional, que compara países ou estados, e a de escolas ou alunos, que modela o efeito do nível socioeconômico individual. Entre essas escalas há uma lacuna: a escala</w:t>
      </w:r>
      <w:r>
        <w:t xml:space="preserve"> </w:t>
      </w:r>
      <w:r>
        <w:rPr>
          <w:b/>
          <w:bCs/>
        </w:rPr>
        <w:t xml:space="preserve">municipal</w:t>
      </w:r>
      <w:r>
        <w:t xml:space="preserve">, em que a unidade de política pública é o próprio ente federado responsável pela oferta da educação básica. No Brasil, a Constituição de 1988 e a municipalização do ensino fundamental tornaram os municípios atores centrais da política educacional; compreender se a renda municipal associa-se ao desempenho escolar nessa escala é, portanto, uma questão diretamente relevante para o desenho de políticas locais. O IDEB, ao combinar fluxo e proficiência e atribuir metas bianuais, criou um indicador comum e comparável que permite examinar essa associação com dados oficiais, mas também produziu uma estrutura de incentivos que a literatura analisa criticamente (Afonso, 2012; Schneider; Nardi, 2014; Lacruz; Américo; Carniel, 2019).</w:t>
      </w:r>
    </w:p>
    <w:p>
      <w:pPr>
        <w:pStyle w:val="BodyText"/>
      </w:pPr>
      <w:r>
        <w:t xml:space="preserve">Uma distinção analítica frequentemente negligenciada separa dois tipos de associação entre renda e desempenho escolar: a</w:t>
      </w:r>
      <w:r>
        <w:t xml:space="preserve"> </w:t>
      </w:r>
      <w:r>
        <w:rPr>
          <w:b/>
          <w:bCs/>
        </w:rPr>
        <w:t xml:space="preserve">transversal</w:t>
      </w:r>
      <w:r>
        <w:t xml:space="preserve"> </w:t>
      </w:r>
      <w:r>
        <w:t xml:space="preserve">(entre unidades: municípios mais ricos tendem a ter IDEB mais alto) e a</w:t>
      </w:r>
      <w:r>
        <w:t xml:space="preserve"> </w:t>
      </w:r>
      <w:r>
        <w:rPr>
          <w:b/>
          <w:bCs/>
        </w:rPr>
        <w:t xml:space="preserve">temporal</w:t>
      </w:r>
      <w:r>
        <w:t xml:space="preserve"> </w:t>
      </w:r>
      <w:r>
        <w:t xml:space="preserve">(dentro de uma mesma unidade: quando a renda de um município cresce, seu IDEB cresce?). A primeira é amplamente documentada; a segunda é mais incerta e raramente testada em pequenas escalas. Para o Semiárido brasileiro, onde a pobreza é estrutural e a política educacional estadual (regime de colaboração, alfabetização na idade certa) produziu ganhos notáveis de aprendizagem, essa distinção tem implicações práticas: se a associação for apenas transversal, políticas de crescimento econômico local não deveriam ser tratadas como condição necessária para o avanço educacional.</w:t>
      </w:r>
    </w:p>
    <w:p>
      <w:pPr>
        <w:pStyle w:val="BodyText"/>
      </w:pPr>
      <w:r>
        <w:t xml:space="preserve">A microrregião do Sertão de Crateús (IBGE 23018), no Ceará, oferece um contexto privilegiado para esse teste: nove municípios pequenos, de baixa renda, sob a mesma coordenação estadual de políticas educacionais, com série histórica completa do IDEB (2005–2025) e indicadores municipais oficiais de renda (PIB municipal e Censo Demográfico 2022). Além disso, trata-se de uma região do Semiárido cuja pobreza é estrutural e persistente, o que torna o contraste entre os resultados educacionais recentes — entre os mais altos do país em anos iniciais — e o nível de renda local um fenômeno digno de investigação empírica sistemática. O presente estudo contribui ao testar explicitamente as duas dimensões (entre e dentro) na mesma unidade de análise, com protocolo inferencial conservador e adequado ao pequeno número de unidades.</w:t>
      </w:r>
    </w:p>
    <w:p>
      <w:pPr>
        <w:pStyle w:val="BodyText"/>
      </w:pPr>
      <w:r>
        <w:t xml:space="preserve">A pergunta de pesquisa que orienta o estudo é, portanto:</w:t>
      </w:r>
      <w:r>
        <w:t xml:space="preserve"> </w:t>
      </w:r>
      <w:r>
        <w:rPr>
          <w:b/>
          <w:bCs/>
        </w:rPr>
        <w:t xml:space="preserve">no Sertão de Crateús, a renda municipal associa-se ao desempenho escolar, entre municípios e dentro de cada município ao longo do tempo?</w:t>
      </w:r>
      <w:r>
        <w:t xml:space="preserve"> </w:t>
      </w:r>
      <w:r>
        <w:t xml:space="preserve">Respondê-la importa para a política pública em duas frentes. Primeira, porque municípios pobres do Semiárido são frequentemente tratados como</w:t>
      </w:r>
      <w:r>
        <w:t xml:space="preserve"> </w:t>
      </w:r>
      <w:r>
        <w:t xml:space="preserve">“desafiadores”</w:t>
      </w:r>
      <w:r>
        <w:t xml:space="preserve"> </w:t>
      </w:r>
      <w:r>
        <w:t xml:space="preserve">do ponto de vista educacional, e a evidência sobre o Ceará sugere que a política coordenada pode superar o determinismo socioeconômico — mas essa evidência raramente é testada na escala municipal com painel e protocolo inferencial explícito. Segunda, porque a interpretação dos resultados do IDEB em municípios pobres depende de saber se o nível de renda é um condicionante intransponível ou apenas um correlato: se a associação for fraca ou nula na dimensão temporal, gestores podem tratar o avanço educacional como objetivo alcançável no horizonte de poucos ciclos de política, independentemente do ciclo econômico local.</w:t>
      </w:r>
    </w:p>
    <w:p>
      <w:pPr>
        <w:pStyle w:val="BodyText"/>
      </w:pPr>
      <w:r>
        <w:rPr>
          <w:b/>
          <w:bCs/>
        </w:rPr>
        <w:t xml:space="preserve">Pergunta de pesquisa (RQ):</w:t>
      </w:r>
      <w:r>
        <w:t xml:space="preserve"> </w:t>
      </w:r>
      <w:r>
        <w:t xml:space="preserve">no Sertão de Crateús, a associação entre renda municipal e desempenho escolar no IDEB é transversal (entre municípios), temporal (dentro dos municípios), ou ambas? Em particular: (a) municípios com maior renda têm IDEB mais alto? (b) variações de renda dentro do município acompanham variações de IDEB? (c) o ganho educacional observado na região depende da renda municipal, e os municípios cumprem as metas pactuadas pelo INEP?</w:t>
      </w:r>
    </w:p>
    <w:p>
      <w:pPr>
        <w:pStyle w:val="BodyText"/>
      </w:pPr>
      <w:r>
        <w:t xml:space="preserve">Deliberadamente, este estudo não testa causalidade: trata-se de evidência associativa, com descrição explícita dos limites de inferência. As hipóteses operacionalizadas na Seção 3 respondem diretamente à RQ.</w:t>
      </w:r>
    </w:p>
    <w:bookmarkEnd w:id="11"/>
    <w:bookmarkStart w:id="15" w:name="fundamentação"/>
    <w:p>
      <w:pPr>
        <w:pStyle w:val="Heading2"/>
      </w:pPr>
      <w:r>
        <w:t xml:space="preserve">2. Fundamentação</w:t>
      </w:r>
    </w:p>
    <w:bookmarkStart w:id="12" w:name="o-ideb-como-indicador-e-política"/>
    <w:p>
      <w:pPr>
        <w:pStyle w:val="Heading3"/>
      </w:pPr>
      <w:r>
        <w:t xml:space="preserve">2.1 O IDEB como indicador e política</w:t>
      </w:r>
    </w:p>
    <w:p>
      <w:pPr>
        <w:pStyle w:val="FirstParagraph"/>
      </w:pPr>
      <w:r>
        <w:t xml:space="preserve">O IDEB, criado em 2007, combina fluxo escolar e proficiência no SAEB, atribuindo metas bianuais às escolas públicas (Soares; Xavier, 2013; Schneider; Nardi, 2014). Em sua formulação original, o indicador integra em um único número a dimensão de acesso (aprovação) e a dimensão de aprendizagem (proficiência padronizada), o que permite acompanhar a evolução de cada escola, município e estado em relação a metas projetadas pelo INEP a partir do desempenho inicial. Essa arquitetura faz do IDEB, simultaneamente, instrumento de diagnóstico e de responsabilização: as metas funcionam como balizas temporais explícitas e publicamente verificáveis. A literatura critica seu caráter de accountability gerencial, apontando riscos de estreitamento do currículo e de pressão por resultados (Afonso, 2012), mas reconhece sua função mobilizadora, ao dar visibilidade ao desempenho e incentivar a ação dos gestores (Lacruz; Américo; Carniel, 2019). Brunello e Kiss (2022) mostram, em contexto internacional, que alunos em séries de avaliações com consequências (</w:t>
      </w:r>
      <w:r>
        <w:t xml:space="preserve">“high stakes”</w:t>
      </w:r>
      <w:r>
        <w:t xml:space="preserve">) apresentam desempenho superior em matemática — evidência compatível com a hipótese de que a combinação de medida pública e meta explícita altera o comportamento dos atores escolares.</w:t>
      </w:r>
    </w:p>
    <w:bookmarkEnd w:id="12"/>
    <w:bookmarkStart w:id="13" w:name="Xd87c13bb06bd8a4f55ccbbda574fbc51710ba1f"/>
    <w:p>
      <w:pPr>
        <w:pStyle w:val="Heading3"/>
      </w:pPr>
      <w:r>
        <w:t xml:space="preserve">2.2 O caso do Ceará: regime de colaboração e alfabetização</w:t>
      </w:r>
    </w:p>
    <w:p>
      <w:pPr>
        <w:pStyle w:val="FirstParagraph"/>
      </w:pPr>
      <w:r>
        <w:t xml:space="preserve">O Ceará tornou-se caso emblemático por seu regime de colaboração entre estado e municípios, institucionalizado pelo Programa Alfabetização na Idade Certa (PAIC, Lei estadual 14.026/2007). O programa articula formação de professores, material didático, acompanhamento pedagógico e avaliação externa anual, com coordenação estadual e adesão municipal formalizada em convênios; sua lógica é a da intervenção coordenada sobre o início da escolarização, quando o aprendizado da leitura e da escrita define as trajetórias subsequentes. A literatura documenta ganhos expressivos de alfabetização e aprendizagem associados às políticas cearenses (Costa; Carnoy, 2015; Cruz; Ribeiro; Batista, 2022), com evidência de que a coordenação regional pode produzir resultados comparáveis à coordenação nacional (Segatto; Oliveira; Silva, 2024). Carnoy et al. (2017) mostraram, em análise intranacional, que diferenças estaduais de desempenho no Brasil podem ensinar sobre políticas eficazes — e o Ceará figura entre os casos de maior progresso, com avanços concentrados nos anos iniciais e nas redes municipais. Esse quadro sugere que, no contexto cearense, o desempenho educacional pode estar associado a fatores institucionais e pedagógicos mais do que à variação econômica local — hipótese que o presente estudo permite examinar de forma direta na escala municipal. (A denominação legal do programa é</w:t>
      </w:r>
      <w:r>
        <w:t xml:space="preserve"> </w:t>
      </w:r>
      <w:r>
        <w:t xml:space="preserve">“Alfabetização na Idade Certa”</w:t>
      </w:r>
      <w:r>
        <w:t xml:space="preserve">; a literatura às vezes usa a variação</w:t>
      </w:r>
      <w:r>
        <w:t xml:space="preserve"> </w:t>
      </w:r>
      <w:r>
        <w:t xml:space="preserve">“Aprendizagem na Idade Certa”</w:t>
      </w:r>
      <w:r>
        <w:t xml:space="preserve">, como no título de Cruz, Ribeiro e Batista, 2022.)</w:t>
      </w:r>
    </w:p>
    <w:bookmarkEnd w:id="13"/>
    <w:bookmarkStart w:id="14" w:name="X530bb4f9efc39837d8d6f6c7c09e81039394131"/>
    <w:p>
      <w:pPr>
        <w:pStyle w:val="Heading3"/>
      </w:pPr>
      <w:r>
        <w:t xml:space="preserve">2.3 Renda e desempenho: associação transversal vs. temporal</w:t>
      </w:r>
    </w:p>
    <w:p>
      <w:pPr>
        <w:pStyle w:val="FirstParagraph"/>
      </w:pPr>
      <w:r>
        <w:t xml:space="preserve">Em análises transversais, municípios mais ricos tendem a apresentar IDEB mais alto (Duarte, 2013; Andrews; Vries, 2012). Contudo, dentro de uma mesma unidade ao longo do tempo, a variação da renda não costuma acompanhar a variação do desempenho — o crescimento do IDEB frequentemente ocorre mesmo onde a renda cresce pouco, como documentado para municípios pobres brasileiros (Andrews; Vries, 2012). Esse contraste entre associação transversal (em níveis) e ausência de associação temporal (dentro das unidades) fundamenta a distinção operacional deste estudo: medir separadamente as duas dimensões na mesma microrregião, em vez de combiná-las em um único coeficiente. A literatura metodológica recomenda, nesse contexto, tratar o número de municípios como o tamanho efetivo da amostra transversal (Cameron; Gelbach; Miller, 2008) e usar procedimentos de inferência robustos a poucos clusters (MacKinnon; Webb, 2017): quando há poucas unidades, os erros padrão convencionais superestimam a precisão, e a inferência assintótica em número de unidades deixa de ser válida — daí a necessidade de bootstrap por cluster e de correções de pequena amostra, adotadas neste estudo e detalhadas na Seção 3.</w:t>
      </w:r>
    </w:p>
    <w:p>
      <w:pPr>
        <w:pStyle w:val="BodyText"/>
      </w:pPr>
      <w:r>
        <w:t xml:space="preserve">Uma ressalva metodológica importante é que o desenho aqui adotado é</w:t>
      </w:r>
      <w:r>
        <w:t xml:space="preserve"> </w:t>
      </w:r>
      <w:r>
        <w:rPr>
          <w:b/>
          <w:bCs/>
        </w:rPr>
        <w:t xml:space="preserve">observacional e associativo</w:t>
      </w:r>
      <w:r>
        <w:t xml:space="preserve">: não há variação exógena de renda, e o termo</w:t>
      </w:r>
      <w:r>
        <w:t xml:space="preserve"> </w:t>
      </w:r>
      <w:r>
        <w:t xml:space="preserve">“efeito”</w:t>
      </w:r>
      <w:r>
        <w:t xml:space="preserve"> </w:t>
      </w:r>
      <w:r>
        <w:t xml:space="preserve">é usado apenas em sentido estatístico (coeficiente de regressão). A comparação entre escalas (microrregião, Ceará, Brasil) funciona como triangulação descritiva: se a associação transversal for uma regularidade robusta, ela deveria aparecer também dentro de contextos homogêneos; se aparecer apenas no agregado, sua interpretação como relação causal entre renda e desempenho fica enfraquecida. É nesse sentido que a ausência de associação na microrregião e no Ceará é informativa, ainda que não prove a irrelevância da renda: ela delimita o escopo em que o padrão agregado nacional opera.</w:t>
      </w:r>
    </w:p>
    <w:bookmarkEnd w:id="14"/>
    <w:bookmarkEnd w:id="15"/>
    <w:bookmarkStart w:id="21" w:name="método"/>
    <w:p>
      <w:pPr>
        <w:pStyle w:val="Heading2"/>
      </w:pPr>
      <w:r>
        <w:t xml:space="preserve">3. Método</w:t>
      </w:r>
    </w:p>
    <w:bookmarkStart w:id="16" w:name="delimitação-e-dados"/>
    <w:p>
      <w:pPr>
        <w:pStyle w:val="Heading3"/>
      </w:pPr>
      <w:r>
        <w:t xml:space="preserve">3.1 Delimitação e dados</w:t>
      </w:r>
    </w:p>
    <w:p>
      <w:pPr>
        <w:pStyle w:val="FirstParagraph"/>
      </w:pPr>
      <w:r>
        <w:t xml:space="preserve">A microrregião do Sertão de Crateús (IBGE 23018) compreende nove municípios: Ararendá (2301257), Crateús (2304103), Independência (2305605), Ipaporanga (2305654), Monsenhor Tabosa (2308609), Nova Russas (2309300), Novo Oriente (2309409), Quiterianópolis (2311264) e Tamboril (2313203). Usaram-se apenas fontes oficiais e auditáveis: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INEP — IDEB municipal</w:t>
      </w:r>
      <w:r>
        <w:t xml:space="preserve">, edição 2025 (série 2005–2025), rede Municipal, anos iniciais e finais do ensino fundamental (download.inep.gov.br);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IBGE — PIB dos Municípios</w:t>
      </w:r>
      <w:r>
        <w:t xml:space="preserve">, base 2010–2021 (ftp.ibge.gov.br), PIB per capita a preços correntes,</w:t>
      </w:r>
      <w:r>
        <w:t xml:space="preserve"> </w:t>
      </w:r>
      <w:r>
        <w:rPr>
          <w:b/>
          <w:bCs/>
        </w:rPr>
        <w:t xml:space="preserve">deflacionado para R$ de 2021</w:t>
      </w:r>
      <w:r>
        <w:t xml:space="preserve"> </w:t>
      </w:r>
      <w:r>
        <w:t xml:space="preserve">pelo IPCA médio anual (IPEA Data, série PRECOS12_IPCA12, dezen/1993 = 100; fonte original IBGE/SNIPC);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IBGE — Censo Demográfico 2022</w:t>
      </w:r>
      <w:r>
        <w:t xml:space="preserve">, agregados por município: rendimento nominal médio mensal das pessoas responsáveis (V06004) e mediana (V06006);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IBGE — Malha municipal 2023</w:t>
      </w:r>
      <w:r>
        <w:t xml:space="preserve"> </w:t>
      </w:r>
      <w:r>
        <w:t xml:space="preserve">(geoftp), para os mapas.</w:t>
      </w:r>
    </w:p>
    <w:p>
      <w:pPr>
        <w:pStyle w:val="FirstParagraph"/>
      </w:pPr>
      <w:r>
        <w:t xml:space="preserve">Todos os downloads foram registrados em manifesto de proveniência (URL, timestamp, SHA-256), disponível em</w:t>
      </w:r>
      <w:r>
        <w:t xml:space="preserve"> </w:t>
      </w:r>
      <w:r>
        <w:rPr>
          <w:rStyle w:val="VerbatimChar"/>
        </w:rPr>
        <w:t xml:space="preserve">data/raw/SOURCE_MANIFEST.json</w:t>
      </w:r>
      <w:r>
        <w:t xml:space="preserve">. O IPCE (IPC Marketing Editora), mencionado na demanda original, é um índice comercial sem acesso público auditável; portanto, usaram-se como proxies oficiais o PIB per capita e a renda do responsável, com essa limitação declarada.</w:t>
      </w:r>
    </w:p>
    <w:bookmarkEnd w:id="16"/>
    <w:bookmarkStart w:id="17" w:name="painel-e-variáveis"/>
    <w:p>
      <w:pPr>
        <w:pStyle w:val="Heading3"/>
      </w:pPr>
      <w:r>
        <w:t xml:space="preserve">3.2 Painel e variáveis</w:t>
      </w:r>
    </w:p>
    <w:p>
      <w:pPr>
        <w:pStyle w:val="FirstParagraph"/>
      </w:pPr>
      <w:r>
        <w:rPr>
          <w:b/>
          <w:bCs/>
        </w:rPr>
        <w:t xml:space="preserve">Variável de resultado — IDEB:</w:t>
      </w:r>
      <w:r>
        <w:t xml:space="preserve"> </w:t>
      </w:r>
      <w:r>
        <w:t xml:space="preserve">nota do IDEB municipal por etapa (anos iniciais e finais do ensino fundamental), rede pública municipal, edições bienais de 2005 a 2025. No painel de estimação da dimensão dentro, usam-se as edições cujo PIB defasado em dois anos existe (IDEB 2013–2023, emparelhado ao PIB 2011–2021), totalizando 6 ondas.</w:t>
      </w:r>
    </w:p>
    <w:p>
      <w:pPr>
        <w:pStyle w:val="BodyText"/>
      </w:pPr>
      <w:r>
        <w:rPr>
          <w:b/>
          <w:bCs/>
        </w:rPr>
        <w:t xml:space="preserve">Variável explicativa — log do PIB per capita real:</w:t>
      </w:r>
      <w:r>
        <w:t xml:space="preserve"> </w:t>
      </w:r>
      <w:r>
        <w:t xml:space="preserve">logaritmo natural do PIB per capita municipal a preços correntes (IBGE, base 2010–2021), deflacionado para R$ de 2021. O deflator foi construído a partir da série de IPCA médio anual (IPEA Data, série PRECOS12_IPCA12, dezen/1993 = 100; fonte original IBGE/SNIPC), com 1.680 registros mensais; para cada ano, calculou-se a média anual do índice e o fator de conversão fator_ano = IPCA_2021 / IPCA_ano. O logaritmo é usado por simetria com a literatura e por interpretação elasticidade: uma variação de 10% no PIB per capita real corresponde a aproximadamente 0,095 unidades de log.</w:t>
      </w:r>
    </w:p>
    <w:p>
      <w:pPr>
        <w:pStyle w:val="BodyText"/>
      </w:pPr>
      <w:r>
        <w:rPr>
          <w:b/>
          <w:bCs/>
        </w:rPr>
        <w:t xml:space="preserve">Variável de contexto — renda do responsável:</w:t>
      </w:r>
      <w:r>
        <w:t xml:space="preserve"> </w:t>
      </w:r>
      <w:r>
        <w:t xml:space="preserve">rendimento nominal médio mensal das pessoas responsáveis pelo domicílio (Censo Demográfico 2022, variáveis V06004/V06006), usada exclusivamente na análise do ganho educacional (H3b) e nos mapas, por ser a única fonte censitária de renda domiciliar disponível para todos os nove municípios no período recente.</w:t>
      </w:r>
    </w:p>
    <w:p>
      <w:pPr>
        <w:pStyle w:val="BodyText"/>
      </w:pPr>
      <w:r>
        <w:rPr>
          <w:b/>
          <w:bCs/>
        </w:rPr>
        <w:t xml:space="preserve">Painel de estimação:</w:t>
      </w:r>
      <w:r>
        <w:t xml:space="preserve"> </w:t>
      </w:r>
      <w:r>
        <w:t xml:space="preserve">emparelha, por município e ano, o IDEB observado ao log do PIB per capita real defasado em dois anos (IDEB do ano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com PIB de</w:t>
      </w:r>
      <w:r>
        <w:t xml:space="preserve"> </w:t>
      </w:r>
      <w:r>
        <w:rPr>
          <w:i/>
          <w:iCs/>
        </w:rPr>
        <w:t xml:space="preserve">t</w:t>
      </w:r>
      <w:r>
        <w:t xml:space="preserve">−2), suavizando contemporaneidade mecânica — o PIB do ano em que a prova foi aplicada não pode influenciar o desempenho já ocorrido, e uma defasagem de dois anos aproxima a renda do período em que a coorte estudou. Para a microrregião, o painel de estimação cobre os anos IDEB 2013–2023 (n = 108 observações; 9 municípios × 6 anos × 2 etapas), com missingness de IDEB de 0,5% (1 de 198 pares município-etapa-ano); no Ceará, 1,3%, e no Brasil, 26,2% (o painel nacional de níveis usa os anos disponíveis em lista completa, sem imputação). A defasagem principal de 2 anos foi declarada</w:t>
      </w:r>
      <w:r>
        <w:t xml:space="preserve"> </w:t>
      </w:r>
      <w:r>
        <w:rPr>
          <w:i/>
          <w:iCs/>
        </w:rPr>
        <w:t xml:space="preserve">a priori</w:t>
      </w:r>
      <w:r>
        <w:t xml:space="preserve">; a Seção 4.6 mostra a robustez para lags 0–4. Para contextualização, repetiram-se as análises para o Ceará (184 municípios) e o Brasil (5.360 municípios).</w:t>
      </w:r>
    </w:p>
    <w:bookmarkEnd w:id="17"/>
    <w:bookmarkStart w:id="18" w:name="hipóteses"/>
    <w:p>
      <w:pPr>
        <w:pStyle w:val="Heading3"/>
      </w:pPr>
      <w:r>
        <w:t xml:space="preserve">3.3 Hipóteses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H1 (níveis):</w:t>
      </w:r>
      <w:r>
        <w:t xml:space="preserve"> </w:t>
      </w:r>
      <w:r>
        <w:t xml:space="preserve">a correlação transversal entre IDEB e log do PIB per capita real é positiva e estatisticamente discernível (r ≥ 0,3; IC95% sem 0). Estimada na dimensão</w:t>
      </w:r>
      <w:r>
        <w:t xml:space="preserve"> </w:t>
      </w:r>
      <w:r>
        <w:rPr>
          <w:i/>
          <w:iCs/>
        </w:rPr>
        <w:t xml:space="preserve">entre municípios</w:t>
      </w:r>
      <w:r>
        <w:t xml:space="preserve"> </w:t>
      </w:r>
      <w:r>
        <w:t xml:space="preserve">(médias temporais, n = 9), com IC95% por bootstrap por cluster.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H2 (dentro):</w:t>
      </w:r>
      <w:r>
        <w:t xml:space="preserve"> </w:t>
      </w:r>
      <w:r>
        <w:t xml:space="preserve">a associação dentro das unidades é fraca ou nula — primeiras diferenças r próximo de zero e coeficiente de efeitos fixos de município×etapa e ano não significativo sob erros clusterizados. A hipótese é avaliada por</w:t>
      </w:r>
      <w:r>
        <w:t xml:space="preserve"> </w:t>
      </w:r>
      <w:r>
        <w:rPr>
          <w:b/>
          <w:bCs/>
        </w:rPr>
        <w:t xml:space="preserve">não-detecção</w:t>
      </w:r>
      <w:r>
        <w:t xml:space="preserve"> </w:t>
      </w:r>
      <w:r>
        <w:t xml:space="preserve">(ver 3.5), não por</w:t>
      </w:r>
      <w:r>
        <w:t xml:space="preserve"> </w:t>
      </w:r>
      <w:r>
        <w:t xml:space="preserve">“confirmação”</w:t>
      </w:r>
      <w:r>
        <w:t xml:space="preserve"> </w:t>
      </w:r>
      <w:r>
        <w:t xml:space="preserve">de nulidade.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H3 (metas e ganho):</w:t>
      </w:r>
      <w:r>
        <w:t xml:space="preserve"> </w:t>
      </w:r>
      <w:r>
        <w:t xml:space="preserve">(a) os municípios cumprem as metas projetadas pelo INEP no</w:t>
      </w:r>
      <w:r>
        <w:t xml:space="preserve"> </w:t>
      </w:r>
      <w:r>
        <w:rPr>
          <w:b/>
          <w:bCs/>
        </w:rPr>
        <w:t xml:space="preserve">mesmo ano de referência</w:t>
      </w:r>
      <w:r>
        <w:t xml:space="preserve"> </w:t>
      </w:r>
      <w:r>
        <w:t xml:space="preserve">(IDEB observado em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≥ meta em</w:t>
      </w:r>
      <w:r>
        <w:t xml:space="preserve"> </w:t>
      </w:r>
      <w:r>
        <w:rPr>
          <w:i/>
          <w:iCs/>
        </w:rPr>
        <w:t xml:space="preserve">t</w:t>
      </w:r>
      <w:r>
        <w:t xml:space="preserve">, para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∈ {2011, 2013, 2015, 2017, 2019, 2021}); (b) o ganho educacional 2007→2025 (anos iniciais) não se associa à renda municipal. São proposições separadas e testadas independentemente.</w:t>
      </w:r>
    </w:p>
    <w:bookmarkEnd w:id="18"/>
    <w:bookmarkStart w:id="19" w:name="procedimentos-de-validação"/>
    <w:p>
      <w:pPr>
        <w:pStyle w:val="Heading3"/>
      </w:pPr>
      <w:r>
        <w:t xml:space="preserve">3.4 Procedimentos de validação</w:t>
      </w:r>
    </w:p>
    <w:p>
      <w:pPr>
        <w:pStyle w:val="FirstParagraph"/>
      </w:pPr>
      <w:r>
        <w:t xml:space="preserve">A inferência estatística deste estudo adota, deliberadamente, procedimentos adequados a um pequeno número de unidades (G = 9). Em primeiro lugar, todos os intervalos e valores-p reportados para a dimensão transversal e para o painel da microrregião usam</w:t>
      </w:r>
      <w:r>
        <w:t xml:space="preserve"> </w:t>
      </w:r>
      <w:r>
        <w:rPr>
          <w:b/>
          <w:bCs/>
        </w:rPr>
        <w:t xml:space="preserve">bootstrap por cluster</w:t>
      </w:r>
      <w:r>
        <w:t xml:space="preserve">, reamostrando municípios (e não observações individuais), com 5.000 réplicas e seed fixa 42 para reprodutibilidade: cada réplica sorteia G municípios com reposição e recalcula a estatística sobre a amostra sorteada; o intervalo é obtido pelos percentis 2,5 e 97,5 da distribuição bootstrap, e o valor-p, pela proporção de réplicas em que o sinal da estatística se inverte em relação ao observado. Esse procedimento preserva a correlação intracluster do painel, que o bootstrap ingênuo por observação ignoraria (Cameron; Gelbach; Miller, 2008).</w:t>
      </w:r>
    </w:p>
    <w:p>
      <w:pPr>
        <w:pStyle w:val="BodyText"/>
      </w:pPr>
      <w:r>
        <w:t xml:space="preserve">Em segundo lugar, o coeficiente de efeitos fixos é inferido com</w:t>
      </w:r>
      <w:r>
        <w:t xml:space="preserve"> </w:t>
      </w:r>
      <w:r>
        <w:rPr>
          <w:b/>
          <w:bCs/>
        </w:rPr>
        <w:t xml:space="preserve">erros padrão clusterizados por município</w:t>
      </w:r>
      <w:r>
        <w:t xml:space="preserve"> </w:t>
      </w:r>
      <w:r>
        <w:t xml:space="preserve">(CRVE,</w:t>
      </w:r>
      <w:r>
        <w:t xml:space="preserve"> </w:t>
      </w:r>
      <w:r>
        <w:t xml:space="preserve">“sandwich”</w:t>
      </w:r>
      <w:r>
        <w:t xml:space="preserve">), corrigidos para pequena amostra e comparados à distribuição t com</w:t>
      </w:r>
      <w:r>
        <w:t xml:space="preserve"> </w:t>
      </w:r>
      <w:r>
        <w:rPr>
          <w:b/>
          <w:bCs/>
        </w:rPr>
        <w:t xml:space="preserve">G−1 = 8 graus de liberdade</w:t>
      </w:r>
      <w:r>
        <w:t xml:space="preserve">, em lugar da aproximação assintótica em número de observações (n = 108). Com tão poucos clusters, essa aproximação t é necessária, mas ainda pode super-rejeitar; por isso, o valor-p decisivo é o do</w:t>
      </w:r>
      <w:r>
        <w:t xml:space="preserve"> </w:t>
      </w:r>
      <w:r>
        <w:rPr>
          <w:b/>
          <w:bCs/>
        </w:rPr>
        <w:t xml:space="preserve">wild cluster bootstrap sob H0</w:t>
      </w:r>
      <w:r>
        <w:t xml:space="preserve"> </w:t>
      </w:r>
      <w:r>
        <w:t xml:space="preserve">(Rademacher, 9.999 réplicas), que impõe a restrição nula ao reamostrar os sinais dos resíduos restritos por cluster e recalcular o coeficiente em cada réplica, fornecendo um valor-p exato por permutação aproximada (MacKinnon; Webb, 2017). Os erros padrão homocedásticos são reportados apenas como transparência, não como base de decisão.</w:t>
      </w:r>
    </w:p>
    <w:p>
      <w:pPr>
        <w:pStyle w:val="BodyText"/>
      </w:pPr>
      <w:r>
        <w:t xml:space="preserve">Em terceiro lugar, o poder do estudo é dimensionado de forma explícita: o</w:t>
      </w:r>
      <w:r>
        <w:t xml:space="preserve"> </w:t>
      </w:r>
      <w:r>
        <w:rPr>
          <w:b/>
          <w:bCs/>
        </w:rPr>
        <w:t xml:space="preserve">mínimo efeito detectável</w:t>
      </w:r>
      <w:r>
        <w:t xml:space="preserve"> </w:t>
      </w:r>
      <w:r>
        <w:t xml:space="preserve">(MDES; Bloom, 1995) é derivado do erro padrão clusterizado com poder de 80% e α = 5%, e o</w:t>
      </w:r>
      <w:r>
        <w:t xml:space="preserve"> </w:t>
      </w:r>
      <w:r>
        <w:rPr>
          <w:b/>
          <w:bCs/>
        </w:rPr>
        <w:t xml:space="preserve">teste de equivalência</w:t>
      </w:r>
      <w:r>
        <w:t xml:space="preserve"> </w:t>
      </w:r>
      <w:r>
        <w:t xml:space="preserve">(TOST) compara a estimativa a uma margem substantiva (SESOI) de ±0,5 ponto de IDEB, realizando dois testes unicaudais com as hipóteses trocadas e exigindo que ambos rejeitem para declarar equivalência (Lakens; Scheel; Isager, 2018). Esse protocolo impede que a ausência de significância seja lida como prova de nulidade: sem poder e sem equivalência, o resultado é classificado como precisão insuficiente. As etapas aplicadas a cada estimador são: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Between-estimator (dimensão transversal):</w:t>
      </w:r>
      <w:r>
        <w:t xml:space="preserve"> </w:t>
      </w:r>
      <w:r>
        <w:t xml:space="preserve">média temporal de IDEB e de log do PIB real por município; correlação de Pearson entre as médias (n = 9), com IC95% e p por bootstrap por cluster reamostrando municípios (seed 42, 5.000 réplicas) e jackknife por município.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Correlações em níveis (pooled):</w:t>
      </w:r>
      <w:r>
        <w:t xml:space="preserve"> </w:t>
      </w:r>
      <w:r>
        <w:t xml:space="preserve">Pearson em todas as observações, com IC95% por bootstrap por cluster (município), 5.000 réplicas (500 quando o número de clusters excede 50). Reportada como complemento, sem reivindicação de tamanho efetivo de amostra transversal.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Primeiras diferenças:</w:t>
      </w:r>
      <w:r>
        <w:t xml:space="preserve"> </w:t>
      </w:r>
      <w:r>
        <w:t xml:space="preserve">correlação de Pearson das diferenças de primeira ordem dentro de cada município-etapa (p nominal; n pequeno, poder baixo — declarado).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Efeitos fixos:</w:t>
      </w:r>
      <w:r>
        <w:t xml:space="preserve"> </w:t>
      </w:r>
      <w:r>
        <w:t xml:space="preserve">regressão com efeitos fixos de</w:t>
      </w:r>
      <w:r>
        <w:t xml:space="preserve"> </w:t>
      </w:r>
      <w:r>
        <w:rPr>
          <w:b/>
          <w:bCs/>
        </w:rPr>
        <w:t xml:space="preserve">município×etapa</w:t>
      </w:r>
      <w:r>
        <w:t xml:space="preserve"> </w:t>
      </w:r>
      <w:r>
        <w:t xml:space="preserve">(par único) e ano via within-transformation dupla. Reportam-se erros padrão homocedásticos (transparência) e</w:t>
      </w:r>
      <w:r>
        <w:t xml:space="preserve"> </w:t>
      </w:r>
      <w:r>
        <w:rPr>
          <w:b/>
          <w:bCs/>
        </w:rPr>
        <w:t xml:space="preserve">erros padrão clusterizados por município</w:t>
      </w:r>
      <w:r>
        <w:t xml:space="preserve"> </w:t>
      </w:r>
      <w:r>
        <w:t xml:space="preserve">(CRVE com correção de pequena amostra, t com G−1 graus de liberdade). Com G = 9, o teste t cluster pode super-rejeitar; reporta-se também o</w:t>
      </w:r>
      <w:r>
        <w:t xml:space="preserve"> </w:t>
      </w:r>
      <w:r>
        <w:rPr>
          <w:b/>
          <w:bCs/>
        </w:rPr>
        <w:t xml:space="preserve">wild cluster bootstrap</w:t>
      </w:r>
      <w:r>
        <w:t xml:space="preserve"> </w:t>
      </w:r>
      <w:r>
        <w:t xml:space="preserve">(Rademacher, 9.999 réplicas) sob H0 (Cameron; Gelbach; Miller, 2008; MacKinnon; Webb, 2017).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Validação interna (LOOCV por município):</w:t>
      </w:r>
      <w:r>
        <w:t xml:space="preserve"> </w:t>
      </w:r>
      <w:r>
        <w:t xml:space="preserve">para cada um dos nove municípios, calcula-se a correlação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município retido (12 observações: 6 anos × 2 etapas) e reporta-se a distribuição. Trata-se de estabilidade do sinal</w:t>
      </w:r>
      <w:r>
        <w:t xml:space="preserve"> </w:t>
      </w:r>
      <w:r>
        <w:rPr>
          <w:i/>
          <w:iCs/>
        </w:rPr>
        <w:t xml:space="preserve">dentro da unidade</w:t>
      </w:r>
      <w:r>
        <w:t xml:space="preserve"> </w:t>
      </w:r>
      <w:r>
        <w:t xml:space="preserve">(co-tendência temporal) —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é réplica da associação transversal entre municípios nem validação externa.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MDES/TOST:</w:t>
      </w:r>
      <w:r>
        <w:t xml:space="preserve"> </w:t>
      </w:r>
      <w:r>
        <w:t xml:space="preserve">mínimo efeito detectável (poder 80%, α 5%) baseado no erro padrão clusterizado, traduzido em pontos de IDEB por +10% do PIB per capita real; teste de equivalência (TOST) com margem substantiva</w:t>
      </w:r>
      <w:r>
        <w:t xml:space="preserve"> </w:t>
      </w:r>
      <w:r>
        <w:rPr>
          <w:b/>
          <w:bCs/>
        </w:rPr>
        <w:t xml:space="preserve">SESOI ±0,5 ponto de IDEB</w:t>
      </w:r>
      <w:r>
        <w:t xml:space="preserve"> </w:t>
      </w:r>
      <w:r>
        <w:t xml:space="preserve">(Lakens; Scheel; Isager, 2018; Bloom, 1995) e reporte de margem ±0,10 como transparência.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Transparência:</w:t>
      </w:r>
      <w:r>
        <w:t xml:space="preserve"> </w:t>
      </w:r>
      <w:r>
        <w:t xml:space="preserve">scripts</w:t>
      </w:r>
      <w:r>
        <w:t xml:space="preserve"> </w:t>
      </w:r>
      <w:r>
        <w:rPr>
          <w:rStyle w:val="VerbatimChar"/>
        </w:rPr>
        <w:t xml:space="preserve">baixar_dados.py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analise_crateus.py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analise_crateus_r428.py</w:t>
      </w:r>
      <w:r>
        <w:t xml:space="preserve">; saídas completas em</w:t>
      </w:r>
      <w:r>
        <w:t xml:space="preserve"> </w:t>
      </w:r>
      <w:r>
        <w:rPr>
          <w:rStyle w:val="VerbatimChar"/>
        </w:rPr>
        <w:t xml:space="preserve">outputs/expanded/resultados_r428.json</w:t>
      </w:r>
      <w:r>
        <w:t xml:space="preserve"> </w:t>
      </w:r>
      <w:r>
        <w:t xml:space="preserve">e proveniência</w:t>
      </w:r>
      <w:r>
        <w:t xml:space="preserve"> </w:t>
      </w:r>
      <w:r>
        <w:rPr>
          <w:rStyle w:val="VerbatimChar"/>
        </w:rPr>
        <w:t xml:space="preserve">provenance_r428.json</w:t>
      </w:r>
      <w:r>
        <w:t xml:space="preserve">; deflator em</w:t>
      </w:r>
      <w:r>
        <w:t xml:space="preserve"> </w:t>
      </w:r>
      <w:r>
        <w:rPr>
          <w:rStyle w:val="VerbatimChar"/>
        </w:rPr>
        <w:t xml:space="preserve">data/processed/ipca_medias_anuais.json</w:t>
      </w:r>
      <w:r>
        <w:t xml:space="preserve">.</w:t>
      </w:r>
    </w:p>
    <w:bookmarkEnd w:id="19"/>
    <w:bookmarkStart w:id="20" w:name="Xf130f7615d50ebd486343bd202b9ac90a014781"/>
    <w:p>
      <w:pPr>
        <w:pStyle w:val="Heading3"/>
      </w:pPr>
      <w:r>
        <w:t xml:space="preserve">3.5 Critérios de invalidação empírica (falsificabilidade)</w:t>
      </w:r>
    </w:p>
    <w:p>
      <w:pPr>
        <w:pStyle w:val="FirstParagraph"/>
      </w:pPr>
      <w:r>
        <w:t xml:space="preserve">Para que as hipóteses sejam testáveis, cada uma tem critérios de rejeição pré-definidos, passíveis de refutação pelos dados: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H1 seria rejeitada</w:t>
      </w:r>
      <w:r>
        <w:t xml:space="preserve"> </w:t>
      </w:r>
      <w:r>
        <w:t xml:space="preserve">se o IC95% do bootstrap por cluster incluísse zero ou se a correlação entre municípios fosse negativa.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H2 seria rejeitada</w:t>
      </w:r>
      <w:r>
        <w:t xml:space="preserve"> </w:t>
      </w:r>
      <w:r>
        <w:t xml:space="preserve">se o coeficiente de efeitos fixos (clusterizado, ou o p do wild cluster bootstrap) fosse estatisticamente discernível de zero ao nível de 5% ou se as primeiras diferenças mostrassem correlação |r| ≥ 0,30 com p &lt; 0,05.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H3(a) seria rejeitada</w:t>
      </w:r>
      <w:r>
        <w:t xml:space="preserve"> </w:t>
      </w:r>
      <w:r>
        <w:t xml:space="preserve">se a maioria dos municípios (≥ 5 de 9) ficasse abaixo da meta do INEP no mesmo ano em algum ciclo de 2011 a 2021;</w:t>
      </w:r>
      <w:r>
        <w:t xml:space="preserve"> </w:t>
      </w:r>
      <w:r>
        <w:rPr>
          <w:b/>
          <w:bCs/>
        </w:rPr>
        <w:t xml:space="preserve">H3(b) seria rejeitada</w:t>
      </w:r>
      <w:r>
        <w:t xml:space="preserve"> </w:t>
      </w:r>
      <w:r>
        <w:t xml:space="preserve">se o ganho educacional correlacionasse positiva e significativamente com a renda municipal (r &gt; 0,30; p &lt; 0,05).</w:t>
      </w:r>
    </w:p>
    <w:p>
      <w:pPr>
        <w:pStyle w:val="FirstParagraph"/>
      </w:pPr>
      <w:r>
        <w:t xml:space="preserve">A não-detecção (MDES alto, TOST não significativo) é tratada como resultado informativo de poder estatístico, não como confirmação de ausência de efeito:</w:t>
      </w:r>
      <w:r>
        <w:t xml:space="preserve"> </w:t>
      </w:r>
      <w:r>
        <w:rPr>
          <w:b/>
          <w:bCs/>
        </w:rPr>
        <w:t xml:space="preserve">não-detecção ≠ equivalência</w:t>
      </w:r>
      <w:r>
        <w:t xml:space="preserve"> </w:t>
      </w:r>
      <w:r>
        <w:t xml:space="preserve">(Lakens; Scheel; Isager, 2018).</w:t>
      </w:r>
    </w:p>
    <w:bookmarkEnd w:id="20"/>
    <w:bookmarkEnd w:id="21"/>
    <w:bookmarkStart w:id="48" w:name="resultados"/>
    <w:p>
      <w:pPr>
        <w:pStyle w:val="Heading2"/>
      </w:pPr>
      <w:r>
        <w:t xml:space="preserve">4. Resultados</w:t>
      </w:r>
    </w:p>
    <w:bookmarkStart w:id="25" w:name="dimensão-entre-municípios-h1"/>
    <w:p>
      <w:pPr>
        <w:pStyle w:val="Heading3"/>
      </w:pPr>
      <w:r>
        <w:t xml:space="preserve">4.1 Dimensão entre municípios (H1)</w:t>
      </w:r>
    </w:p>
    <w:p>
      <w:pPr>
        <w:pStyle w:val="FirstParagraph"/>
      </w:pPr>
      <w:r>
        <w:t xml:space="preserve">Na microrregião, a correlação entre as médias municipais de IDEB e de log do PIB per capita real defasado foi r = −0,24 (IC95% bootstrap por cluster [−0,77; 0,50]; p = 0,52; n = 9 municípios) — sem evidência de associação transversal discernível, e o sinal estimado é inclusive negativo. O jackknife confirma a fragilidade: o r varia de −0,48 (removendo Independência) a +0,02 (removendo Crateús). Na escala Ceará, o between foi r = 0,03 (IC95% [−0,10; 0,15]; p = 0,76; n = 184); no Brasil, r = 0,49 (IC95% [0,47; 0,51]; p &lt; 0,001; n = 5.360). A associação transversal só aparece no agregado nacional, não na microrregião nem no Ceará; H1</w:t>
      </w:r>
      <w:r>
        <w:t xml:space="preserve"> </w:t>
      </w:r>
      <w:r>
        <w:rPr>
          <w:b/>
          <w:bCs/>
        </w:rPr>
        <w:t xml:space="preserve">é rejeitada</w:t>
      </w:r>
      <w:r>
        <w:t xml:space="preserve"> </w:t>
      </w:r>
      <w:r>
        <w:t xml:space="preserve">para a microrregião (Figura 1).</w:t>
      </w:r>
    </w:p>
    <w:p>
      <w:pPr>
        <w:pStyle w:val="BodyText"/>
      </w:pPr>
      <w:r>
        <w:t xml:space="preserve">Substantivamente, esse resultado indica que, dentro de um conjunto de municípios semelhantes quanto a pobreza, localização e política estadual, o nível de renda não discrimina o desempenho: há municípios pobres com IDEB muito acima da média nacional e municípios relativamente mais ricos da região sem desempenho superior. A associação nacional, embora real, parece refletir principalmente a comparação entre unidades muito heterogêneas — um fenômeno de composição (ecológico) mais do que um mecanismo individual transposto para a escala municipal. Esse é um ponto central para a interpretação: a escala de análise muda a leitura da relação renda–desempenho.</w:t>
      </w:r>
    </w:p>
    <w:p>
      <w:pPr>
        <w:pStyle w:val="CaptionedFigure"/>
      </w:pPr>
      <w:r>
        <w:drawing>
          <wp:inline>
            <wp:extent cx="5753100" cy="3835400"/>
            <wp:effectExtent b="0" l="0" r="0" t="0"/>
            <wp:docPr descr="Figura 1 — Associação em níveis entre IDEB e log do PIB per capita real (Sertão de Crateús, 2013–2023), por etapa." title="" id="23" name="Picture"/>
            <a:graphic>
              <a:graphicData uri="http://schemas.openxmlformats.org/drawingml/2006/picture">
                <pic:pic>
                  <pic:nvPicPr>
                    <pic:cNvPr descr="outputs/figuras/fig_scatter_niveis_micr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 — Associação em níveis entre IDEB e log do PIB per capita real (Sertão de Crateús, 2013–2023), por etapa.</w:t>
      </w:r>
    </w:p>
    <w:p>
      <w:pPr>
        <w:pStyle w:val="BodyText"/>
      </w:pPr>
      <w:r>
        <w:rPr>
          <w:b/>
          <w:bCs/>
        </w:rPr>
        <w:t xml:space="preserve">Tabela 1 — Between-estimator (médias municipais) por escala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Escala</w:t>
            </w:r>
          </w:p>
        </w:tc>
        <w:tc>
          <w:tcPr/>
          <w:p>
            <w:pPr>
              <w:pStyle w:val="Compact"/>
            </w:pPr>
            <w:r>
              <w:t xml:space="preserve">n (municípios)</w:t>
            </w:r>
          </w:p>
        </w:tc>
        <w:tc>
          <w:tcPr/>
          <w:p>
            <w:pPr>
              <w:pStyle w:val="Compact"/>
            </w:pPr>
            <w:r>
              <w:t xml:space="preserve">r between</w:t>
            </w:r>
          </w:p>
        </w:tc>
        <w:tc>
          <w:tcPr/>
          <w:p>
            <w:pPr>
              <w:pStyle w:val="Compact"/>
            </w:pPr>
            <w:r>
              <w:t xml:space="preserve">IC95% bootstrap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Microrregião Sertão de Crateús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−0,24</w:t>
            </w:r>
          </w:p>
        </w:tc>
        <w:tc>
          <w:tcPr/>
          <w:p>
            <w:pPr>
              <w:pStyle w:val="Compact"/>
            </w:pPr>
            <w:r>
              <w:t xml:space="preserve">[−0,77; 0,50]</w:t>
            </w:r>
          </w:p>
        </w:tc>
        <w:tc>
          <w:tcPr/>
          <w:p>
            <w:pPr>
              <w:pStyle w:val="Compact"/>
            </w:pPr>
            <w:r>
              <w:t xml:space="preserve">0,52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Ceará</w:t>
            </w:r>
          </w:p>
        </w:tc>
        <w:tc>
          <w:tcPr/>
          <w:p>
            <w:pPr>
              <w:pStyle w:val="Compact"/>
            </w:pPr>
            <w:r>
              <w:t xml:space="preserve">184</w:t>
            </w:r>
          </w:p>
        </w:tc>
        <w:tc>
          <w:tcPr/>
          <w:p>
            <w:pPr>
              <w:pStyle w:val="Compact"/>
            </w:pPr>
            <w:r>
              <w:t xml:space="preserve">0,03</w:t>
            </w:r>
          </w:p>
        </w:tc>
        <w:tc>
          <w:tcPr/>
          <w:p>
            <w:pPr>
              <w:pStyle w:val="Compact"/>
            </w:pPr>
            <w:r>
              <w:t xml:space="preserve">[−0,10; 0,15]</w:t>
            </w:r>
          </w:p>
        </w:tc>
        <w:tc>
          <w:tcPr/>
          <w:p>
            <w:pPr>
              <w:pStyle w:val="Compact"/>
            </w:pPr>
            <w:r>
              <w:t xml:space="preserve">0,76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Brasil</w:t>
            </w:r>
          </w:p>
        </w:tc>
        <w:tc>
          <w:tcPr/>
          <w:p>
            <w:pPr>
              <w:pStyle w:val="Compact"/>
            </w:pPr>
            <w:r>
              <w:t xml:space="preserve">5.360</w:t>
            </w:r>
          </w:p>
        </w:tc>
        <w:tc>
          <w:tcPr/>
          <w:p>
            <w:pPr>
              <w:pStyle w:val="Compact"/>
            </w:pPr>
            <w:r>
              <w:t xml:space="preserve">0,49</w:t>
            </w:r>
          </w:p>
        </w:tc>
        <w:tc>
          <w:tcPr/>
          <w:p>
            <w:pPr>
              <w:pStyle w:val="Compact"/>
            </w:pPr>
            <w:r>
              <w:t xml:space="preserve">[0,47; 0,51]</w:t>
            </w:r>
          </w:p>
        </w:tc>
        <w:tc>
          <w:tcPr/>
          <w:p>
            <w:pPr>
              <w:pStyle w:val="Compact"/>
            </w:pPr>
            <w:r>
              <w:t xml:space="preserve">&lt; 0,001</w:t>
            </w:r>
          </w:p>
        </w:tc>
      </w:tr>
    </w:tbl>
    <w:bookmarkEnd w:id="25"/>
    <w:bookmarkStart w:id="26" w:name="associação-dentro-das-unidades-h2"/>
    <w:p>
      <w:pPr>
        <w:pStyle w:val="Heading3"/>
      </w:pPr>
      <w:r>
        <w:t xml:space="preserve">4.2 Associação dentro das unidades (H2)</w:t>
      </w:r>
    </w:p>
    <w:p>
      <w:pPr>
        <w:pStyle w:val="FirstParagraph"/>
      </w:pPr>
      <w:r>
        <w:t xml:space="preserve">As primeiras diferenças dentro de município-etapa na microrregião foram próximas de zero: r = −0,07 (p = 0,50; n = 90). O coeficiente de efeitos fixos de município×etapa e ano foi β = 2,61 (SE homocedástico 1,28, p nominal 0,046; SE clusterizado 1,88; IC95% cluster [−1,73; 6,95]; p = 0,20 com t(G−1); wild cluster bootstrap p = 0,23; n = 108; 9 clusters): positivo, mas</w:t>
      </w:r>
      <w:r>
        <w:t xml:space="preserve"> </w:t>
      </w:r>
      <w:r>
        <w:rPr>
          <w:b/>
          <w:bCs/>
        </w:rPr>
        <w:t xml:space="preserve">não discernível de zero sob inferência cluster-robusta</w:t>
      </w:r>
      <w:r>
        <w:t xml:space="preserve">. Para o Ceará, β = −0,0006 (SE cluster 0,14; IC95% [−0,27; 0,27]; p = 0,997). Para o Brasil, β = 0,11 (SE cluster 0,024; IC95% [0,07; 0,16]; p &lt; 0,001): pequeno, embora discernível dado o enorme n. H2 não é rejeitada na microrregião: dentro das unidades, a associação entre variação de renda e variação de IDEB não é discernível — mas, dada a precisão limitada, o correto é</w:t>
      </w:r>
      <w:r>
        <w:t xml:space="preserve"> </w:t>
      </w:r>
      <w:r>
        <w:rPr>
          <w:b/>
          <w:bCs/>
        </w:rPr>
        <w:t xml:space="preserve">não-detecção</w:t>
      </w:r>
      <w:r>
        <w:t xml:space="preserve">, não</w:t>
      </w:r>
      <w:r>
        <w:t xml:space="preserve"> </w:t>
      </w:r>
      <w:r>
        <w:t xml:space="preserve">“confirmação”</w:t>
      </w:r>
      <w:r>
        <w:t xml:space="preserve"> </w:t>
      </w:r>
      <w:r>
        <w:t xml:space="preserve">de nulidade.</w:t>
      </w:r>
    </w:p>
    <w:p>
      <w:pPr>
        <w:pStyle w:val="BodyText"/>
      </w:pPr>
      <w:r>
        <w:rPr>
          <w:b/>
          <w:bCs/>
        </w:rPr>
        <w:t xml:space="preserve">Tabela 2 — Associação dentro das unidades por escala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Escala</w:t>
            </w:r>
          </w:p>
        </w:tc>
        <w:tc>
          <w:tcPr/>
          <w:p>
            <w:pPr>
              <w:pStyle w:val="Compact"/>
            </w:pPr>
            <w:r>
              <w:t xml:space="preserve">1ª diferenças r (p)</w:t>
            </w:r>
          </w:p>
        </w:tc>
        <w:tc>
          <w:tcPr/>
          <w:p>
            <w:pPr>
              <w:pStyle w:val="Compact"/>
            </w:pPr>
            <w:r>
              <w:t xml:space="preserve">n (1ª dif.)</w:t>
            </w:r>
          </w:p>
        </w:tc>
        <w:tc>
          <w:tcPr/>
          <w:p>
            <w:pPr>
              <w:pStyle w:val="Compact"/>
            </w:pPr>
            <w:r>
              <w:t xml:space="preserve">FE β (IC95% cluster; p cluster)</w:t>
            </w:r>
          </w:p>
        </w:tc>
        <w:tc>
          <w:tcPr/>
          <w:p>
            <w:pPr>
              <w:pStyle w:val="Compact"/>
            </w:pPr>
            <w:r>
              <w:t xml:space="preserve">p wild</w:t>
            </w:r>
          </w:p>
        </w:tc>
        <w:tc>
          <w:tcPr/>
          <w:p>
            <w:pPr>
              <w:pStyle w:val="Compact"/>
            </w:pPr>
            <w:r>
              <w:t xml:space="preserve">n (FE)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Microrregião Sertão de Crateús</w:t>
            </w:r>
          </w:p>
        </w:tc>
        <w:tc>
          <w:tcPr/>
          <w:p>
            <w:pPr>
              <w:pStyle w:val="Compact"/>
            </w:pPr>
            <w:r>
              <w:t xml:space="preserve">−0,07 (0,50)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2,61 ([−1,73; 6,95]; 0,20)</w:t>
            </w:r>
          </w:p>
        </w:tc>
        <w:tc>
          <w:tcPr/>
          <w:p>
            <w:pPr>
              <w:pStyle w:val="Compact"/>
            </w:pPr>
            <w:r>
              <w:t xml:space="preserve">0,23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Ceará</w:t>
            </w:r>
          </w:p>
        </w:tc>
        <w:tc>
          <w:tcPr/>
          <w:p>
            <w:pPr>
              <w:pStyle w:val="Compact"/>
            </w:pPr>
            <w:r>
              <w:t xml:space="preserve">−0,01 (0,77)</w:t>
            </w:r>
          </w:p>
        </w:tc>
        <w:tc>
          <w:tcPr/>
          <w:p>
            <w:pPr>
              <w:pStyle w:val="Compact"/>
            </w:pPr>
            <w:r>
              <w:t xml:space="preserve">1.834</w:t>
            </w:r>
          </w:p>
        </w:tc>
        <w:tc>
          <w:tcPr/>
          <w:p>
            <w:pPr>
              <w:pStyle w:val="Compact"/>
            </w:pPr>
            <w:r>
              <w:t xml:space="preserve">−0,0006 ([−0,27; 0,27]; 0,997)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2.202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Brasil</w:t>
            </w:r>
          </w:p>
        </w:tc>
        <w:tc>
          <w:tcPr/>
          <w:p>
            <w:pPr>
              <w:pStyle w:val="Compact"/>
            </w:pPr>
            <w:r>
              <w:t xml:space="preserve">0,04 (&lt; 0,001)</w:t>
            </w:r>
          </w:p>
        </w:tc>
        <w:tc>
          <w:tcPr/>
          <w:p>
            <w:pPr>
              <w:pStyle w:val="Compact"/>
            </w:pPr>
            <w:r>
              <w:t xml:space="preserve">39.760</w:t>
            </w:r>
          </w:p>
        </w:tc>
        <w:tc>
          <w:tcPr/>
          <w:p>
            <w:pPr>
              <w:pStyle w:val="Compact"/>
            </w:pPr>
            <w:r>
              <w:t xml:space="preserve">0,11 ([0,07; 0,16]; &lt; 0,001)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48.695</w:t>
            </w:r>
          </w:p>
        </w:tc>
      </w:tr>
    </w:tbl>
    <w:bookmarkEnd w:id="26"/>
    <w:bookmarkStart w:id="33" w:name="X25b1f22221eb48867ffad697f441343b62d7f93"/>
    <w:p>
      <w:pPr>
        <w:pStyle w:val="Heading3"/>
      </w:pPr>
      <w:r>
        <w:t xml:space="preserve">4.3 Validação interna: estabilidade do sinal dentro da unidade</w:t>
      </w:r>
    </w:p>
    <w:p>
      <w:pPr>
        <w:pStyle w:val="FirstParagraph"/>
      </w:pPr>
      <w:r>
        <w:t xml:space="preserve">A correlação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de cada município retido (12 observações em níveis) foi positiva em 9/9 municípios (100%), com média r = 0,44 (mediana 0,46; DP 0,20). Os valores variam de 0,08 (Quiterianópolis) a 0,72 (Ararendá). Essa estabilidade reflete</w:t>
      </w:r>
      <w:r>
        <w:t xml:space="preserve"> </w:t>
      </w:r>
      <w:r>
        <w:rPr>
          <w:b/>
          <w:bCs/>
        </w:rPr>
        <w:t xml:space="preserve">co-tendência temporal</w:t>
      </w:r>
      <w:r>
        <w:t xml:space="preserve"> </w:t>
      </w:r>
      <w:r>
        <w:t xml:space="preserve">de IDEB e renda dentro da unidade e não replica a associação transversal entre municípios: trata-se de validação</w:t>
      </w:r>
      <w:r>
        <w:t xml:space="preserve"> </w:t>
      </w:r>
      <w:r>
        <w:rPr>
          <w:b/>
          <w:bCs/>
        </w:rPr>
        <w:t xml:space="preserve">interna</w:t>
      </w:r>
      <w:r>
        <w:t xml:space="preserve">, não de validação externa nem de réplica da dimensão entre unidades (Figuras 2 e 3).</w:t>
      </w:r>
    </w:p>
    <w:p>
      <w:pPr>
        <w:pStyle w:val="CaptionedFigure"/>
      </w:pPr>
      <w:r>
        <w:drawing>
          <wp:inline>
            <wp:extent cx="5753100" cy="2520405"/>
            <wp:effectExtent b="0" l="0" r="0" t="0"/>
            <wp:docPr descr="Figura 2 — Trajetória do IDEB por município, 2007–2025 (anos iniciais e finais)." title="" id="28" name="Picture"/>
            <a:graphic>
              <a:graphicData uri="http://schemas.openxmlformats.org/drawingml/2006/picture">
                <pic:pic>
                  <pic:nvPicPr>
                    <pic:cNvPr descr="outputs/figuras/fig_serie_ideb_micr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520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 — Trajetória do IDEB por município, 2007–2025 (anos iniciais e finais).</w:t>
      </w:r>
    </w:p>
    <w:p>
      <w:pPr>
        <w:pStyle w:val="CaptionedFigure"/>
      </w:pPr>
      <w:r>
        <w:drawing>
          <wp:inline>
            <wp:extent cx="5753100" cy="3179344"/>
            <wp:effectExtent b="0" l="0" r="0" t="0"/>
            <wp:docPr descr="Figura 3 — Validação interna: correlação dentro do município retido (r em níveis)." title="" id="31" name="Picture"/>
            <a:graphic>
              <a:graphicData uri="http://schemas.openxmlformats.org/drawingml/2006/picture">
                <pic:pic>
                  <pic:nvPicPr>
                    <pic:cNvPr descr="outputs/figuras/fig_loocv_r_test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17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 — Validação interna: correlação dentro do município retido (r em níveis).</w:t>
      </w:r>
    </w:p>
    <w:p>
      <w:pPr>
        <w:pStyle w:val="BodyText"/>
      </w:pPr>
      <w:r>
        <w:rPr>
          <w:b/>
          <w:bCs/>
        </w:rPr>
        <w:t xml:space="preserve">Tabela 3 — Validação interna por município (r dentro da unidade, 12 observações)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Município</w:t>
            </w:r>
          </w:p>
        </w:tc>
        <w:tc>
          <w:tcPr/>
          <w:p>
            <w:pPr>
              <w:pStyle w:val="Compact"/>
            </w:pPr>
            <w:r>
              <w:t xml:space="preserve">r dentro</w:t>
            </w:r>
          </w:p>
        </w:tc>
        <w:tc>
          <w:tcPr/>
          <w:p>
            <w:pPr>
              <w:pStyle w:val="Compact"/>
            </w:pPr>
            <w:r>
              <w:t xml:space="preserve">Município</w:t>
            </w:r>
          </w:p>
        </w:tc>
        <w:tc>
          <w:tcPr/>
          <w:p>
            <w:pPr>
              <w:pStyle w:val="Compact"/>
            </w:pPr>
            <w:r>
              <w:t xml:space="preserve">r dentro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Ararendá</w:t>
            </w:r>
          </w:p>
        </w:tc>
        <w:tc>
          <w:tcPr/>
          <w:p>
            <w:pPr>
              <w:pStyle w:val="Compact"/>
            </w:pPr>
            <w:r>
              <w:t xml:space="preserve">0,72</w:t>
            </w:r>
          </w:p>
        </w:tc>
        <w:tc>
          <w:tcPr/>
          <w:p>
            <w:pPr>
              <w:pStyle w:val="Compact"/>
            </w:pPr>
            <w:r>
              <w:t xml:space="preserve">Nova Russas</w:t>
            </w:r>
          </w:p>
        </w:tc>
        <w:tc>
          <w:tcPr/>
          <w:p>
            <w:pPr>
              <w:pStyle w:val="Compact"/>
            </w:pPr>
            <w:r>
              <w:t xml:space="preserve">0,65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Crateús</w:t>
            </w:r>
          </w:p>
        </w:tc>
        <w:tc>
          <w:tcPr/>
          <w:p>
            <w:pPr>
              <w:pStyle w:val="Compact"/>
            </w:pPr>
            <w:r>
              <w:t xml:space="preserve">0,51</w:t>
            </w:r>
          </w:p>
        </w:tc>
        <w:tc>
          <w:tcPr/>
          <w:p>
            <w:pPr>
              <w:pStyle w:val="Compact"/>
            </w:pPr>
            <w:r>
              <w:t xml:space="preserve">Novo Oriente</w:t>
            </w:r>
          </w:p>
        </w:tc>
        <w:tc>
          <w:tcPr/>
          <w:p>
            <w:pPr>
              <w:pStyle w:val="Compact"/>
            </w:pPr>
            <w:r>
              <w:t xml:space="preserve">0,27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Independência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Quiterianópolis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Ipaporanga</w:t>
            </w:r>
          </w:p>
        </w:tc>
        <w:tc>
          <w:tcPr/>
          <w:p>
            <w:pPr>
              <w:pStyle w:val="Compact"/>
            </w:pPr>
            <w:r>
              <w:t xml:space="preserve">0,46</w:t>
            </w:r>
          </w:p>
        </w:tc>
        <w:tc>
          <w:tcPr/>
          <w:p>
            <w:pPr>
              <w:pStyle w:val="Compact"/>
            </w:pPr>
            <w:r>
              <w:t xml:space="preserve">Tamboril</w:t>
            </w:r>
          </w:p>
        </w:tc>
        <w:tc>
          <w:tcPr/>
          <w:p>
            <w:pPr>
              <w:pStyle w:val="Compact"/>
            </w:pPr>
            <w:r>
              <w:t xml:space="preserve">0,67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Monsenhor Tabosa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mdes-e-tost"/>
    <w:p>
      <w:pPr>
        <w:pStyle w:val="Heading3"/>
      </w:pPr>
      <w:r>
        <w:t xml:space="preserve">4.4 MDES e TOST</w:t>
      </w:r>
    </w:p>
    <w:p>
      <w:pPr>
        <w:pStyle w:val="FirstParagraph"/>
      </w:pPr>
      <w:r>
        <w:t xml:space="preserve">Com n municipal de 9 e 108 observações, o mínimo efeito detectável foi de 6,01 pontos de IDEB por unidade de log do PIB real (erro clusterizado, G−1 = 8 graus de liberdade; 3,63 com erro homocedástico) — muito acima de qualquer coeficiente plausível. Traduzido em termos substantivos: o estudo</w:t>
      </w:r>
      <w:r>
        <w:t xml:space="preserve"> </w:t>
      </w:r>
      <w:r>
        <w:rPr>
          <w:b/>
          <w:bCs/>
        </w:rPr>
        <w:t xml:space="preserve">não detectaria</w:t>
      </w:r>
      <w:r>
        <w:t xml:space="preserve"> </w:t>
      </w:r>
      <w:r>
        <w:t xml:space="preserve">um efeito de +10% de crescimento do PIB per capita real que movesse o IDEB em cerca de 0,57 ponto. O teste de equivalência (TOST) com margem substantiva ±0,5 ponto não foi significativo (p = 0,85; com margem ±0,10, p = 0,89). Portanto, o correto é declarar</w:t>
      </w:r>
      <w:r>
        <w:t xml:space="preserve"> </w:t>
      </w:r>
      <w:r>
        <w:rPr>
          <w:b/>
          <w:bCs/>
        </w:rPr>
        <w:t xml:space="preserve">precisão insuficiente</w:t>
      </w:r>
      <w:r>
        <w:t xml:space="preserve">: a amostra não permite afirmar efeito, mas tampouco permite declarar equivalência. Essa é uma limitação central, explicitamente assumida (Lakens; Scheel; Isager, 2018).</w:t>
      </w:r>
    </w:p>
    <w:bookmarkEnd w:id="34"/>
    <w:bookmarkStart w:id="38" w:name="h3-metas-do-inep-e-ganho-educacional"/>
    <w:p>
      <w:pPr>
        <w:pStyle w:val="Heading3"/>
      </w:pPr>
      <w:r>
        <w:t xml:space="preserve">4.5 H3 — metas do INEP e ganho educacional</w:t>
      </w:r>
    </w:p>
    <w:p>
      <w:pPr>
        <w:pStyle w:val="FirstParagraph"/>
      </w:pPr>
      <w:r>
        <w:rPr>
          <w:b/>
          <w:bCs/>
        </w:rPr>
        <w:t xml:space="preserve">H3(a):</w:t>
      </w:r>
      <w:r>
        <w:t xml:space="preserve"> </w:t>
      </w:r>
      <w:r>
        <w:t xml:space="preserve">comparando o IDEB observado com a projeção do INEP no</w:t>
      </w:r>
      <w:r>
        <w:t xml:space="preserve"> </w:t>
      </w:r>
      <w:r>
        <w:rPr>
          <w:b/>
          <w:bCs/>
        </w:rPr>
        <w:t xml:space="preserve">mesmo ano</w:t>
      </w:r>
      <w:r>
        <w:t xml:space="preserve"> </w:t>
      </w:r>
      <w:r>
        <w:t xml:space="preserve">(2011–2021), os nove municípios cumpriram a meta em 107 de 108 comparações (99,1%); no único desvio, um município, em 2013, não atingiu a meta. Em 2021, todos os 18 pares município-etapa cumpriram a meta; em anos iniciais, todos os nove municípios a atingiram ou superaram (ex.: Crateús, 6,5 vs. meta 5,2; Novo Oriente, 8,9 vs. 5,6).</w:t>
      </w:r>
      <w:r>
        <w:t xml:space="preserve"> </w:t>
      </w:r>
      <w:r>
        <w:rPr>
          <w:b/>
          <w:bCs/>
        </w:rPr>
        <w:t xml:space="preserve">H3(b):</w:t>
      </w:r>
      <w:r>
        <w:t xml:space="preserve"> </w:t>
      </w:r>
      <w:r>
        <w:t xml:space="preserve">o ganho médio do IDEB de anos iniciais entre 2007 e 2025 foi de 5,93 pontos, com todos os municípios acima da meta; a correlação entre ganho e renda média do responsável foi r = −0,14 (p = 0,73; n = 9; Figura 4). Não há evidência de que municípios com maior renda tenham tido maior ganho educacional.</w:t>
      </w:r>
    </w:p>
    <w:p>
      <w:pPr>
        <w:pStyle w:val="BodyText"/>
      </w:pPr>
      <w:r>
        <w:t xml:space="preserve">O cumprimento quase universal das metas projetadas — em uma região de pobreza estrutural — é um resultado substantivo em si. As metas do INEP foram desenhadas como projeções de convergência (Soares; Xavier, 2013): cada unidade deveria progredir de seu ponto de partida em direção à média dos países da OCDE. Que nove municípios pequenos do Semiárido tenham superado sistematicamente suas próprias projeções indica um ritmo de melhora acima do programado institucionalmente, e não apenas</w:t>
      </w:r>
      <w:r>
        <w:t xml:space="preserve"> </w:t>
      </w:r>
      <w:r>
        <w:t xml:space="preserve">“cumprimento de tabela”</w:t>
      </w:r>
      <w:r>
        <w:t xml:space="preserve">. O ganho médio de 5,93 pontos em 18 anos equivale a mais de um terço da escala do IDEB (0–10), o que situa a microrregião entre as trajetórias mais aceleradas do país — sem associação com a renda local, como mostra a correlação nula do ganho com a renda do responsável.</w:t>
      </w:r>
    </w:p>
    <w:p>
      <w:pPr>
        <w:pStyle w:val="CaptionedFigure"/>
      </w:pPr>
      <w:r>
        <w:drawing>
          <wp:inline>
            <wp:extent cx="5753100" cy="3835400"/>
            <wp:effectExtent b="0" l="0" r="0" t="0"/>
            <wp:docPr descr="Figura 4 — Ganho de IDEB (2007→2025, anos iniciais) e renda média do responsável (Censo 2022)." title="" id="36" name="Picture"/>
            <a:graphic>
              <a:graphicData uri="http://schemas.openxmlformats.org/drawingml/2006/picture">
                <pic:pic>
                  <pic:nvPicPr>
                    <pic:cNvPr descr="outputs/figuras/fig_scatter_ganho_renda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 — Ganho de IDEB (2007→2025, anos iniciais) e renda média do responsável (Censo 2022).</w:t>
      </w:r>
    </w:p>
    <w:p>
      <w:pPr>
        <w:pStyle w:val="BodyText"/>
      </w:pPr>
      <w:r>
        <w:rPr>
          <w:b/>
          <w:bCs/>
        </w:rPr>
        <w:t xml:space="preserve">Tabela 4 — IDEB 2025, ganho 2007–2025 e meta 2021 (anos iniciais)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Município</w:t>
            </w:r>
          </w:p>
        </w:tc>
        <w:tc>
          <w:tcPr/>
          <w:p>
            <w:pPr>
              <w:pStyle w:val="Compact"/>
            </w:pPr>
            <w:r>
              <w:t xml:space="preserve">IDEB 2007</w:t>
            </w:r>
          </w:p>
        </w:tc>
        <w:tc>
          <w:tcPr/>
          <w:p>
            <w:pPr>
              <w:pStyle w:val="Compact"/>
            </w:pPr>
            <w:r>
              <w:t xml:space="preserve">IDEB 2025</w:t>
            </w:r>
          </w:p>
        </w:tc>
        <w:tc>
          <w:tcPr/>
          <w:p>
            <w:pPr>
              <w:pStyle w:val="Compact"/>
            </w:pPr>
            <w:r>
              <w:t xml:space="preserve">Ganho</w:t>
            </w:r>
          </w:p>
        </w:tc>
        <w:tc>
          <w:tcPr/>
          <w:p>
            <w:pPr>
              <w:pStyle w:val="Compact"/>
            </w:pPr>
            <w:r>
              <w:t xml:space="preserve">Meta 2021</w:t>
            </w:r>
          </w:p>
        </w:tc>
        <w:tc>
          <w:tcPr/>
          <w:p>
            <w:pPr>
              <w:pStyle w:val="Compact"/>
            </w:pPr>
            <w:r>
              <w:t xml:space="preserve">IDEB 2021</w:t>
            </w:r>
          </w:p>
        </w:tc>
        <w:tc>
          <w:tcPr/>
          <w:p>
            <w:pPr>
              <w:pStyle w:val="Compact"/>
            </w:pPr>
            <w:r>
              <w:t xml:space="preserve">Atingiu 2021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Ararendá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  <w:tc>
          <w:tcPr/>
          <w:p>
            <w:pPr>
              <w:pStyle w:val="Compact"/>
            </w:pPr>
            <w:r>
              <w:t xml:space="preserve">9,8</w:t>
            </w:r>
          </w:p>
        </w:tc>
        <w:tc>
          <w:tcPr/>
          <w:p>
            <w:pPr>
              <w:pStyle w:val="Compact"/>
            </w:pPr>
            <w:r>
              <w:t xml:space="preserve">6,4</w:t>
            </w:r>
          </w:p>
        </w:tc>
        <w:tc>
          <w:tcPr/>
          <w:p>
            <w:pPr>
              <w:pStyle w:val="Compact"/>
            </w:pPr>
            <w:r>
              <w:t xml:space="preserve">5,3</w:t>
            </w:r>
          </w:p>
        </w:tc>
        <w:tc>
          <w:tcPr/>
          <w:p>
            <w:pPr>
              <w:pStyle w:val="Compact"/>
            </w:pPr>
            <w:r>
              <w:t xml:space="preserve">9,5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Crateús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  <w:tc>
          <w:tcPr/>
          <w:p>
            <w:pPr>
              <w:pStyle w:val="Compact"/>
            </w:pPr>
            <w:r>
              <w:t xml:space="preserve">8,5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5,2</w:t>
            </w:r>
          </w:p>
        </w:tc>
        <w:tc>
          <w:tcPr/>
          <w:p>
            <w:pPr>
              <w:pStyle w:val="Compact"/>
            </w:pPr>
            <w:r>
              <w:t xml:space="preserve">6,5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Independência</w:t>
            </w:r>
          </w:p>
        </w:tc>
        <w:tc>
          <w:tcPr/>
          <w:p>
            <w:pPr>
              <w:pStyle w:val="Compact"/>
            </w:pPr>
            <w:r>
              <w:t xml:space="preserve">3,7</w:t>
            </w:r>
          </w:p>
        </w:tc>
        <w:tc>
          <w:tcPr/>
          <w:p>
            <w:pPr>
              <w:pStyle w:val="Compact"/>
            </w:pPr>
            <w:r>
              <w:t xml:space="preserve">9,8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5,2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Ipaporanga</w:t>
            </w:r>
          </w:p>
        </w:tc>
        <w:tc>
          <w:tcPr/>
          <w:p>
            <w:pPr>
              <w:pStyle w:val="Compact"/>
            </w:pPr>
            <w:r>
              <w:t xml:space="preserve">3,2</w:t>
            </w:r>
          </w:p>
        </w:tc>
        <w:tc>
          <w:tcPr/>
          <w:p>
            <w:pPr>
              <w:pStyle w:val="Compact"/>
            </w:pPr>
            <w:r>
              <w:t xml:space="preserve">9,9</w:t>
            </w:r>
          </w:p>
        </w:tc>
        <w:tc>
          <w:tcPr/>
          <w:p>
            <w:pPr>
              <w:pStyle w:val="Compact"/>
            </w:pPr>
            <w:r>
              <w:t xml:space="preserve">6,7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6,6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Monsenhor Tabosa</w:t>
            </w:r>
          </w:p>
        </w:tc>
        <w:tc>
          <w:tcPr/>
          <w:p>
            <w:pPr>
              <w:pStyle w:val="Compact"/>
            </w:pPr>
            <w:r>
              <w:t xml:space="preserve">2,6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6,8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6,3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 Russas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9,7</w:t>
            </w:r>
          </w:p>
        </w:tc>
        <w:tc>
          <w:tcPr/>
          <w:p>
            <w:pPr>
              <w:pStyle w:val="Compact"/>
            </w:pPr>
            <w:r>
              <w:t xml:space="preserve">6,7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7,2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Novo Oriente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  <w:tc>
          <w:tcPr/>
          <w:p>
            <w:pPr>
              <w:pStyle w:val="Compact"/>
            </w:pPr>
            <w:r>
              <w:t xml:space="preserve">9,6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5,6</w:t>
            </w:r>
          </w:p>
        </w:tc>
        <w:tc>
          <w:tcPr/>
          <w:p>
            <w:pPr>
              <w:pStyle w:val="Compact"/>
            </w:pPr>
            <w:r>
              <w:t xml:space="preserve">8,9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Quiterianópolis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6,8</w:t>
            </w:r>
          </w:p>
        </w:tc>
        <w:tc>
          <w:tcPr/>
          <w:p>
            <w:pPr>
              <w:pStyle w:val="Compact"/>
            </w:pPr>
            <w:r>
              <w:t xml:space="preserve">3,2</w:t>
            </w:r>
          </w:p>
        </w:tc>
        <w:tc>
          <w:tcPr/>
          <w:p>
            <w:pPr>
              <w:pStyle w:val="Compact"/>
            </w:pPr>
            <w:r>
              <w:t xml:space="preserve">5,9</w:t>
            </w:r>
          </w:p>
        </w:tc>
        <w:tc>
          <w:tcPr/>
          <w:p>
            <w:pPr>
              <w:pStyle w:val="Compact"/>
            </w:pPr>
            <w:r>
              <w:t xml:space="preserve">5,9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Tamboril</w:t>
            </w:r>
          </w:p>
        </w:tc>
        <w:tc>
          <w:tcPr/>
          <w:p>
            <w:pPr>
              <w:pStyle w:val="Compact"/>
            </w:pPr>
            <w:r>
              <w:t xml:space="preserve">3,1</w:t>
            </w:r>
          </w:p>
        </w:tc>
        <w:tc>
          <w:tcPr/>
          <w:p>
            <w:pPr>
              <w:pStyle w:val="Compact"/>
            </w:pPr>
            <w:r>
              <w:t xml:space="preserve">9,3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6,6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</w:tbl>
    <w:bookmarkEnd w:id="38"/>
    <w:bookmarkStart w:id="39" w:name="robustez-da-defasagem"/>
    <w:p>
      <w:pPr>
        <w:pStyle w:val="Heading3"/>
      </w:pPr>
      <w:r>
        <w:t xml:space="preserve">4.6 Robustez da defasagem</w:t>
      </w:r>
    </w:p>
    <w:p>
      <w:pPr>
        <w:pStyle w:val="FirstParagraph"/>
      </w:pPr>
      <w:r>
        <w:t xml:space="preserve">Para as defasagens 0–4, a correlação pooled (níveis) variou entre r = 0,16 e r = 0,26 na microrregião e as primeiras diferenças oscilaram entre −0,07 e +0,18, sem padrão monotônico — reforçando que nenhuma especificação produz associação temporal discernível na microrregião.</w:t>
      </w:r>
    </w:p>
    <w:bookmarkEnd w:id="39"/>
    <w:bookmarkStart w:id="46" w:name="mapas"/>
    <w:p>
      <w:pPr>
        <w:pStyle w:val="Heading3"/>
      </w:pPr>
      <w:r>
        <w:t xml:space="preserve">4.7 Mapas</w:t>
      </w:r>
    </w:p>
    <w:p>
      <w:pPr>
        <w:pStyle w:val="FirstParagraph"/>
      </w:pPr>
      <w:r>
        <w:t xml:space="preserve">Os mapas coropléticos (Figuras 5 e 6) apresentam os dois proxies oficiais de desenvolvimento por município: renda média mensal do responsável (Censo 2022, IBGE) e PIB per capita (2021, IBGE). Crateús, sede regional, destaca-se em ambos os indicadores; os demais municípios concentram-se nas faixas inferiores, retratando a heterogeneidade intra-regional que a análise transversal explora.</w:t>
      </w:r>
    </w:p>
    <w:p>
      <w:pPr>
        <w:pStyle w:val="CaptionedFigure"/>
      </w:pPr>
      <w:r>
        <w:drawing>
          <wp:inline>
            <wp:extent cx="5753100" cy="5890876"/>
            <wp:effectExtent b="0" l="0" r="0" t="0"/>
            <wp:docPr descr="Figura 5 — Renda média mensal do responsável por município (Censo 2022, IBGE)." title="" id="41" name="Picture"/>
            <a:graphic>
              <a:graphicData uri="http://schemas.openxmlformats.org/drawingml/2006/picture">
                <pic:pic>
                  <pic:nvPicPr>
                    <pic:cNvPr descr="outputs/mapas/mapa_renda_responsavel_censo202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890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 — Renda média mensal do responsável por município (Censo 2022, IBGE).</w:t>
      </w:r>
    </w:p>
    <w:p>
      <w:pPr>
        <w:pStyle w:val="CaptionedFigure"/>
      </w:pPr>
      <w:r>
        <w:drawing>
          <wp:inline>
            <wp:extent cx="5753100" cy="6294568"/>
            <wp:effectExtent b="0" l="0" r="0" t="0"/>
            <wp:docPr descr="Figura 6 — PIB per capita por município (2021, IBGE)." title="" id="44" name="Picture"/>
            <a:graphic>
              <a:graphicData uri="http://schemas.openxmlformats.org/drawingml/2006/picture">
                <pic:pic>
                  <pic:nvPicPr>
                    <pic:cNvPr descr="outputs/mapas/mapa_pib_per_capita_202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6294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 — PIB per capita por município (2021, IBGE).</w:t>
      </w:r>
    </w:p>
    <w:bookmarkEnd w:id="46"/>
    <w:bookmarkStart w:id="47" w:name="X43554868874c72fab64457224cb5a955ab8cb5c"/>
    <w:p>
      <w:pPr>
        <w:pStyle w:val="Heading3"/>
      </w:pPr>
      <w:r>
        <w:t xml:space="preserve">4.8 Marcadores socioeconômicos não convencionais (análise exploratória)</w:t>
      </w:r>
    </w:p>
    <w:p>
      <w:pPr>
        <w:pStyle w:val="FirstParagraph"/>
      </w:pPr>
      <w:r>
        <w:t xml:space="preserve">Para ampliar o diagnóstico além dos proxies clássicos (renda do responsável e PIB per capita), esta rodada incorpora 33 marcadores do Censo Demográfico 2022 (IBGE) por município: gênero, raça/etnia, trabalho (carteira, conta própria, setor público, previdência), profissões (grandes grupos de ocupação), atividade econômica (seções), renda (domiciliar per capita e do trabalho), condições de vida (renda per capita até um salário mínimo), educação/formação (anos de estudo, superior completo, frequência escolar) e habitação (alvenaria, densidade de dormitório). A fonte primária foi a API do IBGE (SIDRA v3), com tabelas do universo e os resultados preliminares da amostra do Censo 2022, e proveniência auditável por tabela, variável e classificação (manifest no repositório).</w:t>
      </w:r>
    </w:p>
    <w:p>
      <w:pPr>
        <w:pStyle w:val="BodyText"/>
      </w:pPr>
      <w:r>
        <w:t xml:space="preserve">O desfecho primário é o IDEB 2025 anos iniciais (rede municipal, INEP); o IDEB 2023 entra como sensibilidade. Para cada marcador, calcularam-se correlações de Spearman e Pearson com IC95% por bootstrap não paramétrico (n = 9; 5.000 reamostragens; seed 42) e estabilidade de sinal. Como o protocolo é exploratório e envolve múltiplas comparações, os 66 p-valores (33 marcadores × 2 desfechos) foram corrigidos por FDR (Benjamini–Hochberg) e por Bonferroni.</w:t>
      </w:r>
    </w:p>
    <w:p>
      <w:pPr>
        <w:pStyle w:val="BodyText"/>
      </w:pPr>
      <w:r>
        <w:rPr>
          <w:b/>
          <w:bCs/>
        </w:rPr>
        <w:t xml:space="preserve">Nenhuma associação sobreviveu ao ajuste.</w:t>
      </w:r>
      <w:r>
        <w:t xml:space="preserve"> </w:t>
      </w:r>
      <w:r>
        <w:t xml:space="preserve">Após a correção, todos os q-valores superaram 0,05 (menor qBH = 0,49), tanto no desfecho primário quanto na sensibilidade; o mesmo ocorreu sob Bonferroni. Esse é o resultado esperado para um desenho com n = 9 e 66 hipóteses, e a leitura correta é de precisão insuficiente para distinguir associações reais do ruído amostral — não de prova de ausência de associação.</w:t>
      </w:r>
    </w:p>
    <w:p>
      <w:pPr>
        <w:pStyle w:val="BodyText"/>
      </w:pPr>
      <w:r>
        <w:t xml:space="preserve">Na escala descritiva (sem inferência formal), os coeficientes crus de maior magnitude no desfecho primário foram: % de ocupados sem carteira (ρ = +0,73; p = 0,026; IC95% [0,20; 0,97]; sinal estável em 99% das réplicas), % de adultos com superior completo (ρ = −0,73; IC95% [−0,93; 0,03]), % de profissionais das ciências e intelectuais (ρ = −0,72; IC95% [−0,92; 0,10]), % de diretores e gerentes (ρ = +0,71; IC95% [0,05; 0,95]), nível de ocupação (ρ = −0,68; IC95% [−0,95; 0,10]) e % de domicílios em alvenaria (ρ = −0,65; IC95% [−0,93; 0,17]).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Família</w:t>
            </w:r>
          </w:p>
        </w:tc>
        <w:tc>
          <w:tcPr/>
          <w:p>
            <w:pPr>
              <w:pStyle w:val="Compact"/>
            </w:pPr>
            <w:r>
              <w:t xml:space="preserve">Marcador</w:t>
            </w:r>
          </w:p>
        </w:tc>
        <w:tc>
          <w:tcPr/>
          <w:p>
            <w:pPr>
              <w:pStyle w:val="Compact"/>
            </w:pPr>
            <w:r>
              <w:t xml:space="preserve">ρ (IDEB 2025 AI)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qBH</w:t>
            </w:r>
          </w:p>
        </w:tc>
        <w:tc>
          <w:tcPr/>
          <w:p>
            <w:pPr>
              <w:pStyle w:val="Compact"/>
            </w:pPr>
            <w:r>
              <w:t xml:space="preserve">Sinal estável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Trabalho</w:t>
            </w:r>
          </w:p>
        </w:tc>
        <w:tc>
          <w:tcPr/>
          <w:p>
            <w:pPr>
              <w:pStyle w:val="Compact"/>
            </w:pPr>
            <w:r>
              <w:t xml:space="preserve">Ocupados sem carteira (%)</w:t>
            </w:r>
          </w:p>
        </w:tc>
        <w:tc>
          <w:tcPr/>
          <w:p>
            <w:pPr>
              <w:pStyle w:val="Compact"/>
            </w:pPr>
            <w:r>
              <w:t xml:space="preserve">+0,73</w:t>
            </w:r>
          </w:p>
        </w:tc>
        <w:tc>
          <w:tcPr/>
          <w:p>
            <w:pPr>
              <w:pStyle w:val="Compact"/>
            </w:pPr>
            <w:r>
              <w:t xml:space="preserve">0,026</w:t>
            </w:r>
          </w:p>
        </w:tc>
        <w:tc>
          <w:tcPr/>
          <w:p>
            <w:pPr>
              <w:pStyle w:val="Compact"/>
            </w:pPr>
            <w:r>
              <w:t xml:space="preserve">0,49</w:t>
            </w:r>
          </w:p>
        </w:tc>
        <w:tc>
          <w:tcPr/>
          <w:p>
            <w:pPr>
              <w:pStyle w:val="Compact"/>
            </w:pPr>
            <w:r>
              <w:t xml:space="preserve">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Educação/formação</w:t>
            </w:r>
          </w:p>
        </w:tc>
        <w:tc>
          <w:tcPr/>
          <w:p>
            <w:pPr>
              <w:pStyle w:val="Compact"/>
            </w:pPr>
            <w:r>
              <w:t xml:space="preserve">18+ com superior completo (%)</w:t>
            </w:r>
          </w:p>
        </w:tc>
        <w:tc>
          <w:tcPr/>
          <w:p>
            <w:pPr>
              <w:pStyle w:val="Compact"/>
            </w:pPr>
            <w:r>
              <w:t xml:space="preserve">−0,73</w:t>
            </w:r>
          </w:p>
        </w:tc>
        <w:tc>
          <w:tcPr/>
          <w:p>
            <w:pPr>
              <w:pStyle w:val="Compact"/>
            </w:pPr>
            <w:r>
              <w:t xml:space="preserve">0,026</w:t>
            </w:r>
          </w:p>
        </w:tc>
        <w:tc>
          <w:tcPr/>
          <w:p>
            <w:pPr>
              <w:pStyle w:val="Compact"/>
            </w:pPr>
            <w:r>
              <w:t xml:space="preserve">0,49</w:t>
            </w:r>
          </w:p>
        </w:tc>
        <w:tc>
          <w:tcPr/>
          <w:p>
            <w:pPr>
              <w:pStyle w:val="Compac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Profissões</w:t>
            </w:r>
          </w:p>
        </w:tc>
        <w:tc>
          <w:tcPr/>
          <w:p>
            <w:pPr>
              <w:pStyle w:val="Compact"/>
            </w:pPr>
            <w:r>
              <w:t xml:space="preserve">Profissionais ciências/intelectuais (%)</w:t>
            </w:r>
          </w:p>
        </w:tc>
        <w:tc>
          <w:tcPr/>
          <w:p>
            <w:pPr>
              <w:pStyle w:val="Compact"/>
            </w:pPr>
            <w:r>
              <w:t xml:space="preserve">−0,72</w:t>
            </w:r>
          </w:p>
        </w:tc>
        <w:tc>
          <w:tcPr/>
          <w:p>
            <w:pPr>
              <w:pStyle w:val="Compact"/>
            </w:pPr>
            <w:r>
              <w:t xml:space="preserve">0,029</w:t>
            </w:r>
          </w:p>
        </w:tc>
        <w:tc>
          <w:tcPr/>
          <w:p>
            <w:pPr>
              <w:pStyle w:val="Compact"/>
            </w:pPr>
            <w:r>
              <w:t xml:space="preserve">0,49</w:t>
            </w:r>
          </w:p>
        </w:tc>
        <w:tc>
          <w:tcPr/>
          <w:p>
            <w:pPr>
              <w:pStyle w:val="Compac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Profissões</w:t>
            </w:r>
          </w:p>
        </w:tc>
        <w:tc>
          <w:tcPr/>
          <w:p>
            <w:pPr>
              <w:pStyle w:val="Compact"/>
            </w:pPr>
            <w:r>
              <w:t xml:space="preserve">Diretores e gerentes (%)</w:t>
            </w:r>
          </w:p>
        </w:tc>
        <w:tc>
          <w:tcPr/>
          <w:p>
            <w:pPr>
              <w:pStyle w:val="Compact"/>
            </w:pPr>
            <w:r>
              <w:t xml:space="preserve">+0,71</w:t>
            </w:r>
          </w:p>
        </w:tc>
        <w:tc>
          <w:tcPr/>
          <w:p>
            <w:pPr>
              <w:pStyle w:val="Compact"/>
            </w:pPr>
            <w:r>
              <w:t xml:space="preserve">0,032</w:t>
            </w:r>
          </w:p>
        </w:tc>
        <w:tc>
          <w:tcPr/>
          <w:p>
            <w:pPr>
              <w:pStyle w:val="Compact"/>
            </w:pPr>
            <w:r>
              <w:t xml:space="preserve">0,49</w:t>
            </w:r>
          </w:p>
        </w:tc>
        <w:tc>
          <w:tcPr/>
          <w:p>
            <w:pPr>
              <w:pStyle w:val="Compac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Trabalho</w:t>
            </w:r>
          </w:p>
        </w:tc>
        <w:tc>
          <w:tcPr/>
          <w:p>
            <w:pPr>
              <w:pStyle w:val="Compact"/>
            </w:pPr>
            <w:r>
              <w:t xml:space="preserve">Nível de ocupação 10+ (%)</w:t>
            </w:r>
          </w:p>
        </w:tc>
        <w:tc>
          <w:tcPr/>
          <w:p>
            <w:pPr>
              <w:pStyle w:val="Compact"/>
            </w:pPr>
            <w:r>
              <w:t xml:space="preserve">−0,68</w:t>
            </w:r>
          </w:p>
        </w:tc>
        <w:tc>
          <w:tcPr/>
          <w:p>
            <w:pPr>
              <w:pStyle w:val="Compact"/>
            </w:pPr>
            <w:r>
              <w:t xml:space="preserve">0,045</w:t>
            </w:r>
          </w:p>
        </w:tc>
        <w:tc>
          <w:tcPr/>
          <w:p>
            <w:pPr>
              <w:pStyle w:val="Compact"/>
            </w:pPr>
            <w:r>
              <w:t xml:space="preserve">0,49</w:t>
            </w:r>
          </w:p>
        </w:tc>
        <w:tc>
          <w:tcPr/>
          <w:p>
            <w:pPr>
              <w:pStyle w:val="Compact"/>
            </w:pPr>
            <w:r>
              <w:t xml:space="preserve">96%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Habitação</w:t>
            </w:r>
          </w:p>
        </w:tc>
        <w:tc>
          <w:tcPr/>
          <w:p>
            <w:pPr>
              <w:pStyle w:val="Compact"/>
            </w:pPr>
            <w:r>
              <w:t xml:space="preserve">Domicílios em alvenaria (%)</w:t>
            </w:r>
          </w:p>
        </w:tc>
        <w:tc>
          <w:tcPr/>
          <w:p>
            <w:pPr>
              <w:pStyle w:val="Compact"/>
            </w:pPr>
            <w:r>
              <w:t xml:space="preserve">−0,65</w:t>
            </w:r>
          </w:p>
        </w:tc>
        <w:tc>
          <w:tcPr/>
          <w:p>
            <w:pPr>
              <w:pStyle w:val="Compact"/>
            </w:pPr>
            <w:r>
              <w:t xml:space="preserve">0,057</w:t>
            </w:r>
          </w:p>
        </w:tc>
        <w:tc>
          <w:tcPr/>
          <w:p>
            <w:pPr>
              <w:pStyle w:val="Compact"/>
            </w:pPr>
            <w:r>
              <w:t xml:space="preserve">0,49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Habitação</w:t>
            </w:r>
          </w:p>
        </w:tc>
        <w:tc>
          <w:tcPr/>
          <w:p>
            <w:pPr>
              <w:pStyle w:val="Compact"/>
            </w:pPr>
            <w:r>
              <w:t xml:space="preserve">Moradores &gt;3/dormitório (%)</w:t>
            </w:r>
          </w:p>
        </w:tc>
        <w:tc>
          <w:tcPr/>
          <w:p>
            <w:pPr>
              <w:pStyle w:val="Compact"/>
            </w:pPr>
            <w:r>
              <w:t xml:space="preserve">−0,54</w:t>
            </w:r>
          </w:p>
        </w:tc>
        <w:tc>
          <w:tcPr/>
          <w:p>
            <w:pPr>
              <w:pStyle w:val="Compact"/>
            </w:pPr>
            <w:r>
              <w:t xml:space="preserve">0,130</w:t>
            </w:r>
          </w:p>
        </w:tc>
        <w:tc>
          <w:tcPr/>
          <w:p>
            <w:pPr>
              <w:pStyle w:val="Compact"/>
            </w:pPr>
            <w:r>
              <w:t xml:space="preserve">0,75</w:t>
            </w:r>
          </w:p>
        </w:tc>
        <w:tc>
          <w:tcPr/>
          <w:p>
            <w:pPr>
              <w:pStyle w:val="Compact"/>
            </w:pPr>
            <w:r>
              <w:t xml:space="preserve">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Educação/formação</w:t>
            </w:r>
          </w:p>
        </w:tc>
        <w:tc>
          <w:tcPr/>
          <w:p>
            <w:pPr>
              <w:pStyle w:val="Compact"/>
            </w:pPr>
            <w:r>
              <w:t xml:space="preserve">Anos de estudo (11+)</w:t>
            </w:r>
          </w:p>
        </w:tc>
        <w:tc>
          <w:tcPr/>
          <w:p>
            <w:pPr>
              <w:pStyle w:val="Compact"/>
            </w:pPr>
            <w:r>
              <w:t xml:space="preserve">−0,53</w:t>
            </w:r>
          </w:p>
        </w:tc>
        <w:tc>
          <w:tcPr/>
          <w:p>
            <w:pPr>
              <w:pStyle w:val="Compact"/>
            </w:pPr>
            <w:r>
              <w:t xml:space="preserve">0,139</w:t>
            </w:r>
          </w:p>
        </w:tc>
        <w:tc>
          <w:tcPr/>
          <w:p>
            <w:pPr>
              <w:pStyle w:val="Compact"/>
            </w:pPr>
            <w:r>
              <w:t xml:space="preserve">0,75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Trabalho</w:t>
            </w:r>
          </w:p>
        </w:tc>
        <w:tc>
          <w:tcPr/>
          <w:p>
            <w:pPr>
              <w:pStyle w:val="Compact"/>
            </w:pPr>
            <w:r>
              <w:t xml:space="preserve">Conta própria (%)</w:t>
            </w:r>
          </w:p>
        </w:tc>
        <w:tc>
          <w:tcPr/>
          <w:p>
            <w:pPr>
              <w:pStyle w:val="Compact"/>
            </w:pPr>
            <w:r>
              <w:t xml:space="preserve">−0,51</w:t>
            </w:r>
          </w:p>
        </w:tc>
        <w:tc>
          <w:tcPr/>
          <w:p>
            <w:pPr>
              <w:pStyle w:val="Compact"/>
            </w:pPr>
            <w:r>
              <w:t xml:space="preserve">0,160</w:t>
            </w:r>
          </w:p>
        </w:tc>
        <w:tc>
          <w:tcPr/>
          <w:p>
            <w:pPr>
              <w:pStyle w:val="Compact"/>
            </w:pPr>
            <w:r>
              <w:t xml:space="preserve">0,75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Profissões</w:t>
            </w:r>
          </w:p>
        </w:tc>
        <w:tc>
          <w:tcPr/>
          <w:p>
            <w:pPr>
              <w:pStyle w:val="Compact"/>
            </w:pPr>
            <w:r>
              <w:t xml:space="preserve">Ocupados agropecuária (%)</w:t>
            </w:r>
          </w:p>
        </w:tc>
        <w:tc>
          <w:tcPr/>
          <w:p>
            <w:pPr>
              <w:pStyle w:val="Compact"/>
            </w:pPr>
            <w:r>
              <w:t xml:space="preserve">−0,48</w:t>
            </w:r>
          </w:p>
        </w:tc>
        <w:tc>
          <w:tcPr/>
          <w:p>
            <w:pPr>
              <w:pStyle w:val="Compact"/>
            </w:pPr>
            <w:r>
              <w:t xml:space="preserve">0,194</w:t>
            </w:r>
          </w:p>
        </w:tc>
        <w:tc>
          <w:tcPr/>
          <w:p>
            <w:pPr>
              <w:pStyle w:val="Compact"/>
            </w:pPr>
            <w:r>
              <w:t xml:space="preserve">0,75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</w:tbl>
    <w:p>
      <w:pPr>
        <w:pStyle w:val="BodyText"/>
      </w:pPr>
      <w:r>
        <w:t xml:space="preserve">Nota: qBH = q-valor FDR (Benjamini–Hochberg) sobre 66 hipóteses; sinal estável = % de réplicas bootstrap com o mesmo sinal do coeficiente observado.</w:t>
      </w:r>
    </w:p>
    <w:p>
      <w:pPr>
        <w:pStyle w:val="BodyText"/>
      </w:pPr>
      <w:r>
        <w:t xml:space="preserve">O padrão descritivo combina dois elementos. O primeiro é a posição da sede regional: Crateús concentra os maiores valores de renda domiciliar per capita (R$ 920; primeiro entre os nove municípios), rendimento médio do trabalho (R$ 1.563), anos de estudo (8,0), nível de ocupação (43,2%), ocupados com carteira (19,9%) e contribuintes de previdência (44,3%), e os menores valores de ocupados sem carteira (29,7%) e de renda per capita até um salário mínimo (79,4%). O segundo é que, nessa microrregião, os municípios de perfil menos urbano alcançaram IDEB 2025 médio mais elevado do que a sede em vários anos — o que produz coeficientes crus negativos para escolaridade superior e profissionais liberais e positivos para ocupações sem carteira e direção. Em outras palavras, a associação positiva renda–escolaridade–desempenho documentada no agregado nacional não aparece dentro desta microrregião nem na dimensão transversal com marcadores não convencionais, o que é coerente com as Seções 4.1 e 4.2.</w:t>
      </w:r>
    </w:p>
    <w:p>
      <w:pPr>
        <w:pStyle w:val="BodyText"/>
      </w:pPr>
      <w:r>
        <w:t xml:space="preserve">A sensibilidade com IDEB 2023 preserva os sinais das principais correlações (ocupados sem carteira, ρ = +0,65; mulheres e técnicos de nível médio, ρ = −0,63; profissionais, ρ = −0,55), com nenhuma sobrevivência ao ajuste.</w:t>
      </w:r>
    </w:p>
    <w:p>
      <w:pPr>
        <w:pStyle w:val="BodyText"/>
      </w:pPr>
      <w:r>
        <w:t xml:space="preserve">Duas indisponibilidades de fonte devem ser registradas com transparência. Primeiro, o indicador de docentes/formadores do INEP (Censo Escolar/AFD) permaneceu inacessível na rede do ambiente (download.inep.gov.br bloqueado); o proxy oficial adotado foi o % de profissionais das ciências e intelectuais entre ocupados (Censo 2022), complementado pela alfabetização 15+, já incorporada nas Seções 3 e 4. Segundo, no momento da coleta as tabelas clássicas de trabalho, saúde e renda do SIDRA v3 (vacinação COVID-19, pobreza multidimensional, insegurança alimentar, uso de internet por pessoas, rendimento dos ocupados) responderam erro 500 de forma seletiva no ambiente; a solução foi usar as tabelas da amostra do Censo 2022 (auditáveis), com proxies oficiais para pobreza (renda domiciliar per capita até um salário mínimo) e formalidade (contribuintes de previdência). A internet domiciliar foi reaproveitada da base anterior (Seção 4.7). Recomenda-se, em ambiente com acesso pleno, reexecutar a coleta com as tabelas originais do INEP e do SIDRA.</w:t>
      </w:r>
    </w:p>
    <w:bookmarkEnd w:id="47"/>
    <w:bookmarkEnd w:id="48"/>
    <w:bookmarkStart w:id="50" w:name="discussão"/>
    <w:p>
      <w:pPr>
        <w:pStyle w:val="Heading2"/>
      </w:pPr>
      <w:r>
        <w:t xml:space="preserve">5. Discussão</w:t>
      </w:r>
    </w:p>
    <w:p>
      <w:pPr>
        <w:pStyle w:val="FirstParagraph"/>
      </w:pPr>
      <w:r>
        <w:t xml:space="preserve">Os resultados indicam que, no Sertão de Crateús,</w:t>
      </w:r>
      <w:r>
        <w:t xml:space="preserve"> </w:t>
      </w:r>
      <w:r>
        <w:rPr>
          <w:b/>
          <w:bCs/>
        </w:rPr>
        <w:t xml:space="preserve">não se sustenta a hipótese de associação renda–desempenho em nenhuma das duas dimensões testadas</w:t>
      </w:r>
      <w:r>
        <w:t xml:space="preserve">: entre municípios, a correlação estimada é negativa e não discernível de zero (r = −0,24; IC95% [−0,77; 0,50]; Figura 1); dentro dos municípios, as primeiras diferenças são próximas de zero e os efeitos fixos não são discerníveis de zero sob erros clusterizados (β = 2,61; IC95% [−1,73; 6,95]; p = 0,20; Figuras 2 e 3). A precisão do estudo é limitada (MDES ≈ 6,0; TOST não significativo mesmo com margem substantiva), de modo que a leitura correta é de</w:t>
      </w:r>
      <w:r>
        <w:t xml:space="preserve"> </w:t>
      </w:r>
      <w:r>
        <w:rPr>
          <w:b/>
          <w:bCs/>
        </w:rPr>
        <w:t xml:space="preserve">precisão insuficiente para detectar efeitos plausíveis</w:t>
      </w:r>
      <w:r>
        <w:t xml:space="preserve">, e não de prova de ausência de efeito.</w:t>
      </w:r>
    </w:p>
    <w:p>
      <w:pPr>
        <w:pStyle w:val="BodyText"/>
      </w:pPr>
      <w:r>
        <w:t xml:space="preserve">Dois pontos merecem destaque. Primeiro, a ausência de associação transversal discernível na microrregião — ao contrário do agregado nacional (r = 0,49 no Brasil) — sugere que, em contextos de pobreza estrutural com política educacional coordenada, a variação de renda entre municípios pequenos explica pouco da variação de desempenho. Segundo, o crescimento educacional não acompanhou a renda: municípios pobres da microrregião alcançaram IDEB 2025 elevado (até 9,9 pontos) e todos cumpriram as metas do INEP no ano de referência — o que é compatível com a literatura sobre políticas educacionais cearenses (PAIC, regime de colaboração, alfabetização na idade certa), que associa os ganhos a fatores institucionais e pedagógicos, e não à variação econômica local (Costa; Carnoy, 2015; Cruz; Ribeiro; Batista, 2022; Segatto; Oliveira; Silva, 2024).</w:t>
      </w:r>
    </w:p>
    <w:p>
      <w:pPr>
        <w:pStyle w:val="BodyText"/>
      </w:pPr>
      <w:r>
        <w:t xml:space="preserve">A leitura em duas dimensões ajuda a conciliar resultados que, isolados, pareceriam contraditórios. A associação transversal no Brasil (r = 0,49) reproduz o que a literatura documenta há décadas: municípios e estados mais ricos tendem a ter melhor desempenho médio (Duarte, 2013; Andrews; Vries, 2012). Mas esse padrão, quando observado no interior de um único estado pobre, desaparece: no Ceará o between foi r = 0,03, e na microrregião, r = −0,24. Isso indica que a associação nacional é, em grande parte, um artefato de comparação entre contextos muito heterogêneos (estados ricos do Sul e Sudeste versus municípios pobres do Semiárido), e não uma regularidade que se mantenha quando se compara apenas unidades semelhantes. A ausência de associação temporal dentro das unidades reforça a mesma conclusão: mesmo quando o PIB municipal varia, o IDEB não acompanha — o que é consistente com a hipótese de que os determinantes do desempenho estão mais próximos da política educacional (formação, materiais, gestão, avaliação) do que do ciclo econômico local.</w:t>
      </w:r>
    </w:p>
    <w:bookmarkStart w:id="49" w:name="limitações-e-agenda-de-pesquisa"/>
    <w:p>
      <w:pPr>
        <w:pStyle w:val="Heading3"/>
      </w:pPr>
      <w:r>
        <w:t xml:space="preserve">5.3 Limitações e agenda de pesquisa</w:t>
      </w:r>
    </w:p>
    <w:p>
      <w:pPr>
        <w:pStyle w:val="FirstParagraph"/>
      </w:pPr>
      <w:r>
        <w:t xml:space="preserve">As limitações são explícitas e determinam o alcance das conclusões. (i)</w:t>
      </w:r>
      <w:r>
        <w:t xml:space="preserve"> </w:t>
      </w:r>
      <w:r>
        <w:rPr>
          <w:b/>
          <w:bCs/>
        </w:rPr>
        <w:t xml:space="preserve">Poder estatístico:</w:t>
      </w:r>
      <w:r>
        <w:t xml:space="preserve"> </w:t>
      </w:r>
      <w:r>
        <w:t xml:space="preserve">n municipal de 9 e 108 observações implica poder baixo (MDES ≈ 6,0 com erro clusterizado), de modo que a ausência de associação temporal e transversal é uma</w:t>
      </w:r>
      <w:r>
        <w:t xml:space="preserve"> </w:t>
      </w:r>
      <w:r>
        <w:rPr>
          <w:b/>
          <w:bCs/>
        </w:rPr>
        <w:t xml:space="preserve">não-detecção</w:t>
      </w:r>
      <w:r>
        <w:t xml:space="preserve"> </w:t>
      </w:r>
      <w:r>
        <w:t xml:space="preserve">e não uma prova de ausência; a única afirmação segura é a de precisão insuficiente para efeitos plausíveis. (ii)</w:t>
      </w:r>
      <w:r>
        <w:t xml:space="preserve"> </w:t>
      </w:r>
      <w:r>
        <w:rPr>
          <w:b/>
          <w:bCs/>
        </w:rPr>
        <w:t xml:space="preserve">Número de clusters:</w:t>
      </w:r>
      <w:r>
        <w:t xml:space="preserve"> </w:t>
      </w:r>
      <w:r>
        <w:t xml:space="preserve">com G = 9, o teste t cluster pode super-rejeitar — daí o wild cluster bootstrap como robustez (MacKinnon; Webb, 2017); ainda assim, a distribuição bootstrap é discreta e o valor-p tem granularidade própria desse contexto. (iii)</w:t>
      </w:r>
      <w:r>
        <w:t xml:space="preserve"> </w:t>
      </w:r>
      <w:r>
        <w:rPr>
          <w:b/>
          <w:bCs/>
        </w:rPr>
        <w:t xml:space="preserve">Proxies de desenvolvimento:</w:t>
      </w:r>
      <w:r>
        <w:t xml:space="preserve"> </w:t>
      </w:r>
      <w:r>
        <w:t xml:space="preserve">o PIB municipal e a renda do responsável são proxies imperfeitas do desenvolvimento local; o IPCE (Índice de Pobreza, Ceará) original não é auditável publicamente, o que motivou a escolha de fontes oficiais verificáveis. (iv)</w:t>
      </w:r>
      <w:r>
        <w:t xml:space="preserve"> </w:t>
      </w:r>
      <w:r>
        <w:rPr>
          <w:b/>
          <w:bCs/>
        </w:rPr>
        <w:t xml:space="preserve">Causalidade:</w:t>
      </w:r>
      <w:r>
        <w:t xml:space="preserve"> </w:t>
      </w:r>
      <w:r>
        <w:t xml:space="preserve">não há pretensão causal; os efeitos fixos controlam fatores invariantes no tempo e choques comuns por ano, mas não outros confundidores variáveis no tempo (mudanças de gestão, transferências federais, oferta de creches). (v)</w:t>
      </w:r>
      <w:r>
        <w:t xml:space="preserve"> </w:t>
      </w:r>
      <w:r>
        <w:rPr>
          <w:b/>
          <w:bCs/>
        </w:rPr>
        <w:t xml:space="preserve">Metas do INEP:</w:t>
      </w:r>
      <w:r>
        <w:t xml:space="preserve"> </w:t>
      </w:r>
      <w:r>
        <w:t xml:space="preserve">a comparação com as metas é descritiva e não controla por tendências subjacentes nem por comportamento estratégico de municípios. (vi)</w:t>
      </w:r>
      <w:r>
        <w:t xml:space="preserve"> </w:t>
      </w:r>
      <w:r>
        <w:rPr>
          <w:b/>
          <w:bCs/>
        </w:rPr>
        <w:t xml:space="preserve">Generalização:</w:t>
      </w:r>
      <w:r>
        <w:t xml:space="preserve"> </w:t>
      </w:r>
      <w:r>
        <w:t xml:space="preserve">os resultados se referem a uma microrregião de 9 municípios; sua validade externa para o Semiárido ou o país deve ser estabelecida por replicação. Para a agenda de pesquisa, recomenda-se ampliar o painel para todas as microrregiões cearenses e estaduais (aumentando o número efetivo de unidades e, portanto, o poder), incorporar controles de política (PAIC, ICMS educacional, FUNDEB per capita) e utilizar estratégias quase-experimentais — descontinuidades nas regras de repasse ou no sorteio de programas — para testar mecanismos causais específicos.</w:t>
      </w:r>
    </w:p>
    <w:bookmarkEnd w:id="49"/>
    <w:bookmarkEnd w:id="50"/>
    <w:bookmarkStart w:id="51" w:name="considerações-finais"/>
    <w:p>
      <w:pPr>
        <w:pStyle w:val="Heading2"/>
      </w:pPr>
      <w:r>
        <w:t xml:space="preserve">6. Considerações finais</w:t>
      </w:r>
    </w:p>
    <w:p>
      <w:pPr>
        <w:pStyle w:val="FirstParagraph"/>
      </w:pPr>
      <w:r>
        <w:t xml:space="preserve">Este estudo responde à pergunta de pesquisa com evidência associativa subnacional: no Sertão de Crateús, a relação entre renda e desempenho escolar</w:t>
      </w:r>
      <w:r>
        <w:t xml:space="preserve"> </w:t>
      </w:r>
      <w:r>
        <w:rPr>
          <w:b/>
          <w:bCs/>
        </w:rPr>
        <w:t xml:space="preserve">não é discernível nem entre nem dentro dos municípios</w:t>
      </w:r>
      <w:r>
        <w:t xml:space="preserve"> </w:t>
      </w:r>
      <w:r>
        <w:t xml:space="preserve">— a associação transversal observada no agregado nacional não se reproduz na microrregião, e a variação temporal da renda não acompanha a variação do desempenho. Adicionalmente, os dados oficiais mostram que os nove municípios atingiram ou superaram as metas projetadas pelo INEP na grande maioria das 108 comparações município-etapa-ano (99,1%; único desvio em Ipaporanga, 2013) — e, em 2021, todos os 18 pares cumpriram a meta —, com ganhos médios de cerca de seis pontos no período 2007–2025 e IDEB 2025 elevado mesmo em municípios de baixa renda. A ausência de associação entre ganho educacional e renda sugere que fatores de política educacional — e não a variação econômica — estão associados à trajetória observada, em linha com a literatura do Ceará. Recomenda-se, para estudos futuros, ampliar o painel para todas as microrregiões cearenses e estaduais (aumentando o número efetivo de unidades), incorporar controles de política (PAIC, ICMS educacional) e utilizar estratégias quase-experimentais para testar mecanismos causais específicos.</w:t>
      </w:r>
    </w:p>
    <w:p>
      <w:pPr>
        <w:pStyle w:val="BodyText"/>
      </w:pPr>
      <w:r>
        <w:t xml:space="preserve">As implicações práticas decorrentes são diretamente utilizáveis por gestores municipais e estaduais. Primeiro, o nível de renda municipal não deve ser tratado como destino: a trajetória da microrregião mostra que municípios pobres podem sustentar ganhos educacionais acelerados e cumprir metas institucionais quando há coordenação de política (formação, materiais, avaliação, regime de colaboração). Segundo, indicadores de desempenho baseados exclusivamente em proficiência e fluxo, embora necessários, são insuficientes para diagnosticar desigualdades de contexto; a leitura conjunta com indicadores socioeconômicos (como aqui feito com o PIB e a renda do responsável) evita atribuições equivocadas de sucesso ou fracasso. Terceiro, a distinção entre associação transversal e temporal deve orientar o monitoramento: metas de convergência fazem sentido porque o avanço temporal é alcançável mesmo onde o nível socioeconômico é adverso — desde que a política educacional atue de forma contínua e coordenada, como no caso cearense (Costa; Carnoy, 2015; Carnoy et al., 2017).</w:t>
      </w:r>
    </w:p>
    <w:bookmarkEnd w:id="51"/>
    <w:bookmarkStart w:id="52" w:name="referências"/>
    <w:p>
      <w:pPr>
        <w:pStyle w:val="Heading2"/>
      </w:pPr>
      <w:r>
        <w:t xml:space="preserve">Referências</w:t>
      </w:r>
    </w:p>
    <w:p>
      <w:pPr>
        <w:pStyle w:val="FirstParagraph"/>
      </w:pPr>
      <w:r>
        <w:t xml:space="preserve">AFONSO, A. J. Para uma concetualização alternativa de accountability em educação.</w:t>
      </w:r>
      <w:r>
        <w:t xml:space="preserve"> </w:t>
      </w:r>
      <w:r>
        <w:rPr>
          <w:i/>
          <w:iCs/>
        </w:rPr>
        <w:t xml:space="preserve">Educação &amp; Sociedade</w:t>
      </w:r>
      <w:r>
        <w:t xml:space="preserve">, Campinas, v. 33, n. 119, p. 471–484, 2012. https://doi.org/10.1590/S0101-73302012000200008</w:t>
      </w:r>
    </w:p>
    <w:p>
      <w:pPr>
        <w:pStyle w:val="BodyText"/>
      </w:pPr>
      <w:r>
        <w:t xml:space="preserve">ANDREWS, C. W.; VRIES, M. S. de. Pobreza e municipalização da educação: análise dos resultados do IDEB (2005-2009).</w:t>
      </w:r>
      <w:r>
        <w:t xml:space="preserve"> </w:t>
      </w:r>
      <w:r>
        <w:rPr>
          <w:i/>
          <w:iCs/>
        </w:rPr>
        <w:t xml:space="preserve">Cadernos de Pesquisa</w:t>
      </w:r>
      <w:r>
        <w:t xml:space="preserve">, São Paulo, v. 42, n. 147, p. 826–847, 2012. https://doi.org/10.1590/S0100-15742012000300010</w:t>
      </w:r>
    </w:p>
    <w:p>
      <w:pPr>
        <w:pStyle w:val="BodyText"/>
      </w:pPr>
      <w:r>
        <w:t xml:space="preserve">BLOOM, H. S. Minimum detectable effects: a simple way to report the statistical power of experimental designs.</w:t>
      </w:r>
      <w:r>
        <w:t xml:space="preserve"> </w:t>
      </w:r>
      <w:r>
        <w:rPr>
          <w:i/>
          <w:iCs/>
        </w:rPr>
        <w:t xml:space="preserve">Evaluation Review</w:t>
      </w:r>
      <w:r>
        <w:t xml:space="preserve">, Thousand Oaks, v. 19, n. 5, p. 547–556, 1995. https://doi.org/10.1177/0193841X9501900504</w:t>
      </w:r>
    </w:p>
    <w:p>
      <w:pPr>
        <w:pStyle w:val="BodyText"/>
      </w:pPr>
      <w:r>
        <w:t xml:space="preserve">BRUNELLO, G.; KISS, D. Math scores in high stakes grades.</w:t>
      </w:r>
      <w:r>
        <w:t xml:space="preserve"> </w:t>
      </w:r>
      <w:r>
        <w:rPr>
          <w:i/>
          <w:iCs/>
        </w:rPr>
        <w:t xml:space="preserve">Economics of Education Review</w:t>
      </w:r>
      <w:r>
        <w:t xml:space="preserve">, v. 87, 102219, 2022. https://doi.org/10.1016/j.econedurev.2021.102219</w:t>
      </w:r>
    </w:p>
    <w:p>
      <w:pPr>
        <w:pStyle w:val="BodyText"/>
      </w:pPr>
      <w:r>
        <w:t xml:space="preserve">CAMERON, A. C.; GELBACH, J. B.; MILLER, D. L. Bootstrap-based improvements for inference with clustered errors.</w:t>
      </w:r>
      <w:r>
        <w:t xml:space="preserve"> </w:t>
      </w:r>
      <w:r>
        <w:rPr>
          <w:i/>
          <w:iCs/>
        </w:rPr>
        <w:t xml:space="preserve">The Review of Economics and Statistics</w:t>
      </w:r>
      <w:r>
        <w:t xml:space="preserve">, Cambridge, MA, v. 90, n. 3, p. 414–427, 2008. https://doi.org/10.1162/rest.90.3.414</w:t>
      </w:r>
    </w:p>
    <w:p>
      <w:pPr>
        <w:pStyle w:val="BodyText"/>
      </w:pPr>
      <w:r>
        <w:t xml:space="preserve">CARNOY, M.; MAROTTA, L.; LOUZANO, P.; KHAVENSON, T.; GUIMARÃES, F. R. F.; CARNAUBA, F. Intranational comparative education: what state differences in student achievement can teach us about improving education — the case of Brazil.</w:t>
      </w:r>
      <w:r>
        <w:t xml:space="preserve"> </w:t>
      </w:r>
      <w:r>
        <w:rPr>
          <w:i/>
          <w:iCs/>
        </w:rPr>
        <w:t xml:space="preserve">Comparative Education Review</w:t>
      </w:r>
      <w:r>
        <w:t xml:space="preserve">, Chicago, v. 61, n. 4, p. 726–759, nov. 2017. https://doi.org/10.1086/693981</w:t>
      </w:r>
    </w:p>
    <w:p>
      <w:pPr>
        <w:pStyle w:val="BodyText"/>
      </w:pPr>
      <w:r>
        <w:t xml:space="preserve">CITO, L.; MARÔCO, J. Beyond the average: mapping educational inequality in Brazil with PISA 2022.</w:t>
      </w:r>
      <w:r>
        <w:t xml:space="preserve"> </w:t>
      </w:r>
      <w:r>
        <w:rPr>
          <w:i/>
          <w:iCs/>
        </w:rPr>
        <w:t xml:space="preserve">Large-scale Assessments in Education</w:t>
      </w:r>
      <w:r>
        <w:t xml:space="preserve">, v. 14, art. 30, 2026. https://doi.org/10.1186/s40536-026-00302-0</w:t>
      </w:r>
    </w:p>
    <w:p>
      <w:pPr>
        <w:pStyle w:val="BodyText"/>
      </w:pPr>
      <w:r>
        <w:t xml:space="preserve">COSTA, L. O.; CARNOY, M. The effectiveness of an early-grade literacy intervention on the cognitive achievement of Brazilian students.</w:t>
      </w:r>
      <w:r>
        <w:t xml:space="preserve"> </w:t>
      </w:r>
      <w:r>
        <w:rPr>
          <w:i/>
          <w:iCs/>
        </w:rPr>
        <w:t xml:space="preserve">Educational Evaluation and Policy Analysis</w:t>
      </w:r>
      <w:r>
        <w:t xml:space="preserve">, v. 37, n. 4, p. 567–590, 2015. https://doi.org/10.3102/0162373715571437</w:t>
      </w:r>
    </w:p>
    <w:p>
      <w:pPr>
        <w:pStyle w:val="BodyText"/>
      </w:pPr>
      <w:r>
        <w:t xml:space="preserve">CRUZ, M. C. M. T.; RIBEIRO, V. M.; BATISTA, J. M. Contexto de implementação do Programa de Aprendizagem na Idade Certa (PAIC).</w:t>
      </w:r>
      <w:r>
        <w:t xml:space="preserve"> </w:t>
      </w:r>
      <w:r>
        <w:rPr>
          <w:i/>
          <w:iCs/>
        </w:rPr>
        <w:t xml:space="preserve">Revista Ibero-Americana de Estudos em Educação</w:t>
      </w:r>
      <w:r>
        <w:t xml:space="preserve">, Araraquara, v. 17, n. esp. 3, p. 2405–2432, 2022. https://doi.org/10.21723/riaee.v17iesp.3.16719. [Nota: o título do artigo usa a variação</w:t>
      </w:r>
      <w:r>
        <w:t xml:space="preserve"> </w:t>
      </w:r>
      <w:r>
        <w:t xml:space="preserve">“Aprendizagem”</w:t>
      </w:r>
      <w:r>
        <w:t xml:space="preserve">; a denominação legal do programa é</w:t>
      </w:r>
      <w:r>
        <w:t xml:space="preserve"> </w:t>
      </w:r>
      <w:r>
        <w:t xml:space="preserve">“Alfabetização na Idade Certa”</w:t>
      </w:r>
      <w:r>
        <w:t xml:space="preserve"> </w:t>
      </w:r>
      <w:r>
        <w:t xml:space="preserve">(Lei estadual 14.026/2007).]</w:t>
      </w:r>
    </w:p>
    <w:p>
      <w:pPr>
        <w:pStyle w:val="BodyText"/>
      </w:pPr>
      <w:r>
        <w:t xml:space="preserve">DUARTE, N. de S. O impacto da pobreza no Ideb: um estudo multinível.</w:t>
      </w:r>
      <w:r>
        <w:t xml:space="preserve"> </w:t>
      </w:r>
      <w:r>
        <w:rPr>
          <w:i/>
          <w:iCs/>
        </w:rPr>
        <w:t xml:space="preserve">Revista Brasileira de Estudos Pedagógicos</w:t>
      </w:r>
      <w:r>
        <w:t xml:space="preserve">, Brasília, DF, v. 94, n. 237, p. 343–363, 2013. https://doi.org/10.1590/S2176-66812013000200002</w:t>
      </w:r>
    </w:p>
    <w:p>
      <w:pPr>
        <w:pStyle w:val="BodyText"/>
      </w:pPr>
      <w:r>
        <w:t xml:space="preserve">HANUSHEK, E. A.; WOESSMANN, L.</w:t>
      </w:r>
      <w:r>
        <w:t xml:space="preserve"> </w:t>
      </w:r>
      <w:r>
        <w:rPr>
          <w:i/>
          <w:iCs/>
        </w:rPr>
        <w:t xml:space="preserve">The Knowledge Capital of Nations: education and the economics of growth</w:t>
      </w:r>
      <w:r>
        <w:t xml:space="preserve">. Cambridge, MA: MIT Press, 2015. https://doi.org/10.7551/mitpress/9780262029179.001.0001</w:t>
      </w:r>
    </w:p>
    <w:p>
      <w:pPr>
        <w:pStyle w:val="BodyText"/>
      </w:pPr>
      <w:r>
        <w:t xml:space="preserve">LACRUZ, A. J.; AMÉRICO, B. L.; CARNIEL, F. Indicadores de qualidade na educação: análise discriminante dos desempenhos na Prova Brasil.</w:t>
      </w:r>
      <w:r>
        <w:t xml:space="preserve"> </w:t>
      </w:r>
      <w:r>
        <w:rPr>
          <w:i/>
          <w:iCs/>
        </w:rPr>
        <w:t xml:space="preserve">Revista Brasileira de Educação</w:t>
      </w:r>
      <w:r>
        <w:t xml:space="preserve">, Rio de Janeiro, v. 24, e240002, p. 1–26, 2019. https://doi.org/10.1590/S1413-24782019240002</w:t>
      </w:r>
    </w:p>
    <w:p>
      <w:pPr>
        <w:pStyle w:val="BodyText"/>
      </w:pPr>
      <w:r>
        <w:t xml:space="preserve">LAKENS, D.; SCHEEL, A. M.; ISAGER, P. M. Equivalence testing for psychological research: a tutorial.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, Thousand Oaks, v. 1, n. 2, p. 259–269, 2018. https://doi.org/10.1177/2515245918770963</w:t>
      </w:r>
    </w:p>
    <w:p>
      <w:pPr>
        <w:pStyle w:val="BodyText"/>
      </w:pPr>
      <w:r>
        <w:t xml:space="preserve">MACKINNON, J. G.; WEBB, M. D. Wild bootstrap inference for wildly different cluster sizes.</w:t>
      </w:r>
      <w:r>
        <w:t xml:space="preserve"> </w:t>
      </w:r>
      <w:r>
        <w:rPr>
          <w:i/>
          <w:iCs/>
        </w:rPr>
        <w:t xml:space="preserve">Journal of Applied Econometrics</w:t>
      </w:r>
      <w:r>
        <w:t xml:space="preserve">, Chichester, v. 32, n. 2, p. 233–254, 2017. https://doi.org/10.1002/jae.2508</w:t>
      </w:r>
    </w:p>
    <w:p>
      <w:pPr>
        <w:pStyle w:val="BodyText"/>
      </w:pPr>
      <w:r>
        <w:t xml:space="preserve">SCHNEIDER, M. P.; NARDI, E. L. O IDEB e a construção de um modelo de accountability na educação básica brasileira.</w:t>
      </w:r>
      <w:r>
        <w:t xml:space="preserve"> </w:t>
      </w:r>
      <w:r>
        <w:rPr>
          <w:i/>
          <w:iCs/>
        </w:rPr>
        <w:t xml:space="preserve">Revista Portuguesa de Educação</w:t>
      </w:r>
      <w:r>
        <w:t xml:space="preserve">, Braga, v. 27, n. 1, p. 7–28, 2014. https://doi.org/10.21814/rpe.4295</w:t>
      </w:r>
    </w:p>
    <w:p>
      <w:pPr>
        <w:pStyle w:val="BodyText"/>
      </w:pPr>
      <w:r>
        <w:t xml:space="preserve">SEGATTO, C. I.; OLIVEIRA, K. de; SILVA, A. L. N. da. Os limites do PNE (2014-2024) no regime de colaboração.</w:t>
      </w:r>
      <w:r>
        <w:t xml:space="preserve"> </w:t>
      </w:r>
      <w:r>
        <w:rPr>
          <w:i/>
          <w:iCs/>
        </w:rPr>
        <w:t xml:space="preserve">Estudos em Avaliação Educacional</w:t>
      </w:r>
      <w:r>
        <w:t xml:space="preserve">, São Paulo, v. 35, e10549, 2024. https://doi.org/10.18222/eae.v35.10549</w:t>
      </w:r>
    </w:p>
    <w:p>
      <w:pPr>
        <w:pStyle w:val="BodyText"/>
      </w:pPr>
      <w:r>
        <w:t xml:space="preserve">SOARES, J. F.; XAVIER, F. P. Pressupostos educacionais e estatísticos do Ideb.</w:t>
      </w:r>
      <w:r>
        <w:t xml:space="preserve"> </w:t>
      </w:r>
      <w:r>
        <w:rPr>
          <w:i/>
          <w:iCs/>
        </w:rPr>
        <w:t xml:space="preserve">Educação &amp; Sociedade</w:t>
      </w:r>
      <w:r>
        <w:t xml:space="preserve">, Campinas, v. 34, n. 124, p. 903–923, 2013. https://doi.org/10.1590/S0101-73302013000300013</w:t>
      </w:r>
    </w:p>
    <w:bookmarkEnd w:id="52"/>
    <w:bookmarkStart w:id="53" w:name="Xb81c9ee436544be0586c5f0ff6fd02321a9d8f1"/>
    <w:p>
      <w:pPr>
        <w:pStyle w:val="Heading2"/>
      </w:pPr>
      <w:r>
        <w:t xml:space="preserve">Apêndice A — Proveniência e reprodutibilidade</w:t>
      </w:r>
    </w:p>
    <w:p>
      <w:pPr>
        <w:pStyle w:val="Compact"/>
        <w:numPr>
          <w:ilvl w:val="0"/>
          <w:numId w:val="1005"/>
        </w:numPr>
      </w:pPr>
      <w:r>
        <w:t xml:space="preserve">Scripts:</w:t>
      </w:r>
      <w:r>
        <w:t xml:space="preserve"> </w:t>
      </w:r>
      <w:r>
        <w:rPr>
          <w:rStyle w:val="VerbatimChar"/>
        </w:rPr>
        <w:t xml:space="preserve">scripts/baixar_dados.py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scripts/analise_crateus.py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scripts/analise_crateus_r428.py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scripts/mapa_crateus.py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scripts/graficos_crateus.py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Manifesto de fontes (URL, timestamp, SHA-256):</w:t>
      </w:r>
      <w:r>
        <w:t xml:space="preserve"> </w:t>
      </w:r>
      <w:r>
        <w:rPr>
          <w:rStyle w:val="VerbatimChar"/>
        </w:rPr>
        <w:t xml:space="preserve">data/raw/SOURCE_MANIFEST.json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Deflator:</w:t>
      </w:r>
      <w:r>
        <w:t xml:space="preserve"> </w:t>
      </w:r>
      <w:r>
        <w:rPr>
          <w:rStyle w:val="VerbatimChar"/>
        </w:rPr>
        <w:t xml:space="preserve">data/processed/ipca_medias_anuais.json</w:t>
      </w:r>
      <w:r>
        <w:t xml:space="preserve"> </w:t>
      </w:r>
      <w:r>
        <w:t xml:space="preserve">(IPEA Data, série PRECOS12_IPCA12; fonte original IBGE/SNIPC; fator 2021/ano).</w:t>
      </w:r>
    </w:p>
    <w:p>
      <w:pPr>
        <w:pStyle w:val="Compact"/>
        <w:numPr>
          <w:ilvl w:val="0"/>
          <w:numId w:val="1005"/>
        </w:numPr>
      </w:pPr>
      <w:r>
        <w:t xml:space="preserve">Resultados completos:</w:t>
      </w:r>
      <w:r>
        <w:t xml:space="preserve"> </w:t>
      </w:r>
      <w:r>
        <w:rPr>
          <w:rStyle w:val="VerbatimChar"/>
        </w:rPr>
        <w:t xml:space="preserve">outputs/expanded/resultados_r428.json</w:t>
      </w:r>
      <w:r>
        <w:t xml:space="preserve">; proveniência computacional:</w:t>
      </w:r>
      <w:r>
        <w:t xml:space="preserve"> </w:t>
      </w:r>
      <w:r>
        <w:rPr>
          <w:rStyle w:val="VerbatimChar"/>
        </w:rPr>
        <w:t xml:space="preserve">outputs/expanded/provenance_r428.json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Figuras:</w:t>
      </w:r>
      <w:r>
        <w:t xml:space="preserve"> </w:t>
      </w:r>
      <w:r>
        <w:rPr>
          <w:rStyle w:val="VerbatimChar"/>
        </w:rPr>
        <w:t xml:space="preserve">outputs/figuras/</w:t>
      </w:r>
      <w:r>
        <w:t xml:space="preserve"> </w:t>
      </w:r>
      <w:r>
        <w:t xml:space="preserve">(scatter de níveis, séries temporais, LOOCV interno, ganho×renda) e</w:t>
      </w:r>
      <w:r>
        <w:t xml:space="preserve"> </w:t>
      </w:r>
      <w:r>
        <w:rPr>
          <w:rStyle w:val="VerbatimChar"/>
        </w:rPr>
        <w:t xml:space="preserve">outputs/mapas/</w:t>
      </w:r>
      <w:r>
        <w:t xml:space="preserve"> </w:t>
      </w:r>
      <w:r>
        <w:t xml:space="preserve">(renda do responsável, PIB per capita).</w:t>
      </w:r>
    </w:p>
    <w:p>
      <w:pPr>
        <w:pStyle w:val="Compact"/>
        <w:numPr>
          <w:ilvl w:val="0"/>
          <w:numId w:val="1005"/>
        </w:numPr>
      </w:pPr>
      <w:r>
        <w:t xml:space="preserve">Fontes: INEP — IDEB municipal, edição 2025 (https://download.inep.gov.br/ideb/resultados/divulgacao_anos_iniciais_municipios_2025.zip e</w:t>
      </w:r>
      <w:r>
        <w:t xml:space="preserve"> </w:t>
      </w:r>
      <w:r>
        <w:rPr>
          <w:i/>
          <w:iCs/>
        </w:rPr>
        <w:t xml:space="preserve">anos_finais</w:t>
      </w:r>
      <w:r>
        <w:t xml:space="preserve">); IBGE — PIB dos Municípios 2021 (https://ftp.ibge.gov.br/Pib_Municipios/2021/base/base_de_dados_2010_2021_xlsx.zip); IBGE — Censo 2022, rendimento do responsável (https://ftp.ibge.gov.br/Censos/Censo_Demografico_2022/…/Agregados_por_municipios_renda_responsavel_BR_20260508_csv.zip); IBGE — malha 2023 (https://geoftp.ibge.gov.br/…/CE_Municipios_2023.zip).</w:t>
      </w:r>
    </w:p>
    <w:p>
      <w:pPr>
        <w:pStyle w:val="Compact"/>
        <w:numPr>
          <w:ilvl w:val="0"/>
          <w:numId w:val="1005"/>
        </w:numPr>
      </w:pPr>
      <w:r>
        <w:t xml:space="preserve">Declaração de limites: evidência associativa; n municipal de 9; MDES ≈ 6,0 (cluster); não-detecção ≠ equivalência; IPCE substituído por proxies oficiais; G=9 com wild cluster bootstrap (MacKinnon; Webb, 2017).</w:t>
      </w:r>
    </w:p>
    <w:bookmarkEnd w:id="53"/>
    <w:bookmarkEnd w:id="54"/>
    <w:sectPr>
      <w:footnotePr>
        <w:numRestart w:val="eachSect"/>
      </w:footnotePr>
      <w:pgSz w:h="16838" w:w="11906"/>
      <w:pgMar w:bottom="1134" w:left="1701" w:right="1134" w:top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360" w:lineRule="auto"/>
      <w:jc w:val="both"/>
    </w:pPr>
    <w:rPr>
      <w:rFonts w:ascii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  <w:jc w:val="both"/>
    </w:pPr>
    <w:rPr>
      <w:rFonts w:ascii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360" w:lineRule="auto"/>
      <w:jc w:val="both"/>
    </w:pPr>
    <w:rPr>
      <w:rFonts w:ascii="Times New Roman" w:eastAsia="Times New Roman" w:hAnsi="Times New Roman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Times New Roman" w:hAnsi="Times New Roman"/>
      <w:sz w:val="24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360" w:lineRule="auto"/>
      <w:jc w:val="both"/>
    </w:pPr>
    <w:rPr>
      <w:rFonts w:cstheme="majorBidi" w:eastAsiaTheme="majorEastAsia" w:ascii="Times New Roman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line="360" w:lineRule="auto"/>
      <w:jc w:val="both"/>
    </w:pPr>
    <w:rPr>
      <w:rFonts w:ascii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line="360" w:lineRule="auto"/>
      <w:jc w:val="both"/>
    </w:pPr>
    <w:rPr>
      <w:rFonts w:ascii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both"/>
    </w:pPr>
    <w:rPr>
      <w:rFonts w:ascii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  <w:jc w:val="both"/>
    </w:pPr>
    <w:rPr>
      <w:rFonts w:ascii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/>
      <w:jc w:val="both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jc w:val="both"/>
      <w:outlineLvl w:val="2"/>
    </w:pPr>
    <w:rPr>
      <w:rFonts w:ascii="Times New Roman" w:cstheme="majorBidi" w:eastAsia="Times New Roman" w:eastAsiaTheme="majorEastAsia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jc w:val="both"/>
      <w:outlineLvl w:val="3"/>
    </w:pPr>
    <w:rPr>
      <w:rFonts w:cstheme="majorBidi" w:eastAsiaTheme="majorEastAsia" w:ascii="Times New Roman" w:hAnsi="Times New Roman"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jc w:val="both"/>
      <w:outlineLvl w:val="4"/>
    </w:pPr>
    <w:rPr>
      <w:rFonts w:cstheme="majorBidi" w:eastAsiaTheme="majorEastAsia" w:ascii="Times New Roman" w:hAnsi="Times New Roman"/>
      <w:color w:themeColor="accent1" w:themeShade="BF" w:val="0F4761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jc w:val="both"/>
      <w:outlineLvl w:val="5"/>
    </w:pPr>
    <w:rPr>
      <w:rFonts w:cstheme="majorBidi" w:eastAsiaTheme="majorEastAsia" w:ascii="Times New Roman" w:hAnsi="Times New Roman"/>
      <w:i/>
      <w:iCs/>
      <w:color w:themeColor="text1" w:themeTint="A6" w:val="595959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jc w:val="both"/>
      <w:outlineLvl w:val="6"/>
    </w:pPr>
    <w:rPr>
      <w:rFonts w:cstheme="majorBidi" w:eastAsiaTheme="majorEastAsia" w:ascii="Times New Roman" w:hAnsi="Times New Roman"/>
      <w:color w:themeColor="text1" w:themeTint="A6" w:val="595959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jc w:val="both"/>
      <w:outlineLvl w:val="7"/>
    </w:pPr>
    <w:rPr>
      <w:rFonts w:cstheme="majorBidi" w:eastAsiaTheme="majorEastAsia" w:ascii="Times New Roman" w:hAnsi="Times New Roman"/>
      <w:i/>
      <w:iCs/>
      <w:color w:themeColor="text1" w:themeTint="D8" w:val="272727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jc w:val="both"/>
      <w:outlineLvl w:val="8"/>
    </w:pPr>
    <w:rPr>
      <w:rFonts w:cstheme="majorBidi" w:eastAsiaTheme="majorEastAsia" w:ascii="Times New Roman" w:hAnsi="Times New Roman"/>
      <w:color w:themeColor="text1" w:themeTint="D8" w:val="272727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/>
      <w:color w:themeColor="accent1" w:themeShade="BF" w:val="0F4761"/>
      <w:sz w:val="24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/>
      <w:i/>
      <w:iCs/>
      <w:color w:themeColor="accent1" w:themeShade="BF" w:val="0F4761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/>
      <w:color w:themeColor="accent1" w:themeShade="BF" w:val="0F4761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/>
      <w:i/>
      <w:iCs/>
      <w:color w:themeColor="text1" w:themeTint="A6" w:val="595959"/>
      <w:sz w:val="24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/>
      <w:color w:themeColor="text1" w:themeTint="A6" w:val="595959"/>
      <w:sz w:val="24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/>
      <w:i/>
      <w:iCs/>
      <w:color w:themeColor="text1" w:themeTint="D8" w:val="272727"/>
      <w:sz w:val="24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/>
      <w:color w:themeColor="text1" w:themeTint="D8" w:val="272727"/>
      <w:sz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  <w:jc w:val="both"/>
    </w:pPr>
    <w:rPr>
      <w:rFonts w:ascii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360" w:lineRule="auto"/>
      <w:jc w:val="both"/>
    </w:pPr>
    <w:rPr>
      <w:rFonts w:ascii="Times New Roman" w:hAnsi="Times New Roman"/>
      <w:sz w:val="24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  <w:jc w:val="both"/>
    </w:pPr>
    <w:rPr>
      <w:rFonts w:ascii="Times New Roman" w:hAnsi="Times New Roman"/>
      <w:sz w:val="24"/>
    </w:rPr>
  </w:style>
  <w:style w:default="1" w:styleId="DefaultParagraphFont" w:type="character">
    <w:name w:val="Default Paragraph Font"/>
    <w:semiHidden/>
    <w:unhideWhenUsed/>
    <w:rPr>
      <w:rFonts w:ascii="Times New Roman" w:hAnsi="Times New Roman"/>
      <w:sz w:val="24"/>
    </w:rPr>
  </w:style>
  <w:style w:default="1" w:styleId="Table" w:type="table">
    <w:name w:val="Table"/>
    <w:basedOn w:val="TableNormal"/>
    <w:semiHidden/>
    <w:unhideWhenUsed/>
    <w:qFormat/>
    <w:pPr>
      <w:spacing w:line="360" w:lineRule="auto"/>
      <w:jc w:val="both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  <w:jc w:val="both"/>
    </w:pPr>
    <w:rPr>
      <w:rFonts w:ascii="Times New Roman" w:hAnsi="Times New Roman"/>
      <w:b/>
      <w:sz w:val="24"/>
    </w:rPr>
  </w:style>
  <w:style w:customStyle="1" w:styleId="Definition" w:type="paragraph">
    <w:name w:val="Definition"/>
    <w:basedOn w:val="Normal"/>
    <w:pPr>
      <w:spacing w:line="360" w:lineRule="auto"/>
      <w:jc w:val="both"/>
    </w:pPr>
    <w:rPr>
      <w:rFonts w:ascii="Times New Roman" w:hAnsi="Times New Roman"/>
      <w:sz w:val="24"/>
    </w:rPr>
  </w:style>
  <w:style w:styleId="Caption" w:type="paragraph">
    <w:name w:val="Caption"/>
    <w:basedOn w:val="Normal"/>
    <w:link w:val="BodyTextChar"/>
    <w:pPr>
      <w:spacing w:after="120" w:before="0" w:line="360" w:lineRule="auto"/>
      <w:jc w:val="both"/>
    </w:pPr>
    <w:rPr>
      <w:rFonts w:ascii="Times New Roman" w:hAnsi="Times New Roman"/>
      <w:i/>
      <w:sz w:val="24"/>
    </w:rPr>
  </w:style>
  <w:style w:customStyle="1" w:styleId="TableCaption" w:type="paragraph">
    <w:name w:val="Table Caption"/>
    <w:basedOn w:val="Caption"/>
    <w:pPr>
      <w:keepNext/>
      <w:spacing w:line="360" w:lineRule="auto"/>
      <w:jc w:val="both"/>
    </w:pPr>
    <w:rPr>
      <w:rFonts w:ascii="Times New Roman" w:eastAsia="Times New Roman" w:hAnsi="Times New Roman"/>
      <w:sz w:val="20"/>
    </w:rPr>
  </w:style>
  <w:style w:customStyle="1" w:styleId="ImageCaption" w:type="paragraph">
    <w:name w:val="Image Caption"/>
    <w:basedOn w:val="Caption"/>
    <w:pPr>
      <w:spacing w:line="360" w:lineRule="auto"/>
      <w:jc w:val="both"/>
    </w:pPr>
    <w:rPr>
      <w:rFonts w:ascii="Times New Roman" w:hAnsi="Times New Roman"/>
      <w:sz w:val="24"/>
    </w:rPr>
  </w:style>
  <w:style w:customStyle="1" w:styleId="Figure" w:type="paragraph">
    <w:name w:val="Figure"/>
    <w:basedOn w:val="Normal"/>
    <w:pPr>
      <w:spacing w:line="360" w:lineRule="auto"/>
      <w:jc w:val="both"/>
    </w:pPr>
    <w:rPr>
      <w:rFonts w:ascii="Times New Roman" w:hAnsi="Times New Roman"/>
      <w:sz w:val="24"/>
    </w:rPr>
  </w:style>
  <w:style w:customStyle="1" w:styleId="CaptionedFigure" w:type="paragraph">
    <w:name w:val="Captioned Figure"/>
    <w:basedOn w:val="Figure"/>
    <w:pPr>
      <w:keepNext/>
      <w:spacing w:line="360" w:lineRule="auto"/>
      <w:jc w:val="both"/>
    </w:pPr>
    <w:rPr>
      <w:rFonts w:ascii="Times New Roman" w:hAnsi="Times New Roman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/>
      <w:sz w:val="24"/>
    </w:rPr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/>
      <w:sz w:val="24"/>
    </w:rPr>
  </w:style>
  <w:style w:styleId="FootnoteReference" w:type="character">
    <w:name w:val="Footnote Reference"/>
    <w:basedOn w:val="BodyTextChar"/>
    <w:rPr>
      <w:rFonts w:ascii="Times New Roman" w:hAnsi="Times New Roman"/>
      <w:sz w:val="24"/>
      <w:vertAlign w:val="superscript"/>
    </w:rPr>
  </w:style>
  <w:style w:styleId="Hyperlink" w:type="character">
    <w:name w:val="Hyperlink"/>
    <w:basedOn w:val="BodyTextChar"/>
    <w:rPr>
      <w:rFonts w:ascii="Times New Roman" w:hAnsi="Times New Roman"/>
      <w:color w:themeColor="accent1" w:val="4F81BD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jc w:val="both"/>
      <w:outlineLvl w:val="9"/>
    </w:pPr>
    <w:rPr>
      <w:rFonts w:asciiTheme="majorHAnsi" w:cstheme="majorBidi" w:eastAsiaTheme="majorEastAsia" w:hAnsiTheme="majorHAnsi" w:ascii="Times New Roman" w:hAnsi="Times New Roman"/>
      <w:b w:val="0"/>
      <w:bCs w:val="0"/>
      <w:color w:themeColor="accent1" w:themeShade="BF" w:val="365F91"/>
      <w:sz w:val="24"/>
    </w:rPr>
  </w:style>
  <w:style w:type="paragraph" w:customStyle="1" w:styleId="SourceCode">
    <w:name w:val="Source Code"/>
    <w:basedOn w:val="Normal"/>
    <w:link w:val="VerbatimChar"/>
    <w:pPr>
      <w:wordWrap w:val="off"/>
      <w:spacing w:line="360" w:lineRule="auto"/>
      <w:jc w:val="both"/>
    </w:pPr>
    <w:rPr>
      <w:rFonts w:ascii="Times New Roman" w:hAnsi="Times New Roman"/>
      <w:sz w:val="24"/>
    </w:rPr>
  </w:style>
  <w:style w:type="character" w:customStyle="1" w:styleId="KeywordTok">
    <w:name w:val="KeywordTok"/>
    <w:basedOn w:val="VerbatimChar"/>
    <w:rPr>
      <w:rFonts w:ascii="Times New Roman" w:hAnsi="Times New Roman"/>
      <w:b/>
      <w:color w:val="007020"/>
      <w:sz w:val="24"/>
    </w:rPr>
  </w:style>
  <w:style w:type="character" w:customStyle="1" w:styleId="DataTypeTok">
    <w:name w:val="DataTypeTok"/>
    <w:basedOn w:val="VerbatimChar"/>
    <w:rPr>
      <w:rFonts w:ascii="Times New Roman" w:hAnsi="Times New Roman"/>
      <w:color w:val="902000"/>
      <w:sz w:val="24"/>
    </w:rPr>
  </w:style>
  <w:style w:type="character" w:customStyle="1" w:styleId="DecValTok">
    <w:name w:val="DecValTok"/>
    <w:basedOn w:val="VerbatimChar"/>
    <w:rPr>
      <w:rFonts w:ascii="Times New Roman" w:hAnsi="Times New Roman"/>
      <w:color w:val="40a070"/>
      <w:sz w:val="24"/>
    </w:rPr>
  </w:style>
  <w:style w:type="character" w:customStyle="1" w:styleId="BaseNTok">
    <w:name w:val="BaseNTok"/>
    <w:basedOn w:val="VerbatimChar"/>
    <w:rPr>
      <w:rFonts w:ascii="Times New Roman" w:hAnsi="Times New Roman"/>
      <w:color w:val="40a070"/>
      <w:sz w:val="24"/>
    </w:rPr>
  </w:style>
  <w:style w:type="character" w:customStyle="1" w:styleId="FloatTok">
    <w:name w:val="FloatTok"/>
    <w:basedOn w:val="VerbatimChar"/>
    <w:rPr>
      <w:rFonts w:ascii="Times New Roman" w:hAnsi="Times New Roman"/>
      <w:color w:val="40a070"/>
      <w:sz w:val="24"/>
    </w:rPr>
  </w:style>
  <w:style w:type="character" w:customStyle="1" w:styleId="ConstantTok">
    <w:name w:val="ConstantTok"/>
    <w:basedOn w:val="VerbatimChar"/>
    <w:rPr>
      <w:rFonts w:ascii="Times New Roman" w:hAnsi="Times New Roman"/>
      <w:color w:val="880000"/>
      <w:sz w:val="24"/>
    </w:rPr>
  </w:style>
  <w:style w:type="character" w:customStyle="1" w:styleId="CharTok">
    <w:name w:val="CharTok"/>
    <w:basedOn w:val="VerbatimChar"/>
    <w:rPr>
      <w:rFonts w:ascii="Times New Roman" w:hAnsi="Times New Roman"/>
      <w:color w:val="4070a0"/>
      <w:sz w:val="24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4070a0"/>
      <w:sz w:val="24"/>
    </w:rPr>
  </w:style>
  <w:style w:type="character" w:customStyle="1" w:styleId="StringTok">
    <w:name w:val="StringTok"/>
    <w:basedOn w:val="VerbatimChar"/>
    <w:rPr>
      <w:rFonts w:ascii="Times New Roman" w:hAnsi="Times New Roman"/>
      <w:color w:val="4070a0"/>
      <w:sz w:val="24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4070a0"/>
      <w:sz w:val="24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bb6688"/>
      <w:sz w:val="24"/>
    </w:rPr>
  </w:style>
  <w:style w:type="character" w:customStyle="1" w:styleId="ImportTok">
    <w:name w:val="ImportTok"/>
    <w:basedOn w:val="VerbatimChar"/>
    <w:rPr>
      <w:rFonts w:ascii="Times New Roman" w:hAnsi="Times New Roman"/>
      <w:b/>
      <w:color w:val="008000"/>
      <w:sz w:val="24"/>
    </w:rPr>
  </w:style>
  <w:style w:type="character" w:customStyle="1" w:styleId="CommentTok">
    <w:name w:val="CommentTok"/>
    <w:basedOn w:val="VerbatimChar"/>
    <w:rPr>
      <w:rFonts w:ascii="Times New Roman" w:hAnsi="Times New Roman"/>
      <w:i/>
      <w:color w:val="60a0b0"/>
      <w:sz w:val="24"/>
    </w:rPr>
  </w:style>
  <w:style w:type="character" w:customStyle="1" w:styleId="DocumentationTok">
    <w:name w:val="DocumentationTok"/>
    <w:basedOn w:val="VerbatimChar"/>
    <w:rPr>
      <w:rFonts w:ascii="Times New Roman" w:hAnsi="Times New Roman"/>
      <w:i/>
      <w:color w:val="ba2121"/>
      <w:sz w:val="24"/>
    </w:rPr>
  </w:style>
  <w:style w:type="character" w:customStyle="1" w:styleId="AnnotationTok">
    <w:name w:val="AnnotationTok"/>
    <w:basedOn w:val="VerbatimChar"/>
    <w:rPr>
      <w:rFonts w:ascii="Times New Roman" w:hAnsi="Times New Roman"/>
      <w:b/>
      <w:i/>
      <w:color w:val="60a0b0"/>
      <w:sz w:val="24"/>
    </w:rPr>
  </w:style>
  <w:style w:type="character" w:customStyle="1" w:styleId="CommentVarTok">
    <w:name w:val="CommentVarTok"/>
    <w:basedOn w:val="VerbatimChar"/>
    <w:rPr>
      <w:rFonts w:ascii="Times New Roman" w:hAnsi="Times New Roman"/>
      <w:b/>
      <w:i/>
      <w:color w:val="60a0b0"/>
      <w:sz w:val="24"/>
    </w:rPr>
  </w:style>
  <w:style w:type="character" w:customStyle="1" w:styleId="OtherTok">
    <w:name w:val="OtherTok"/>
    <w:basedOn w:val="VerbatimChar"/>
    <w:rPr>
      <w:rFonts w:ascii="Times New Roman" w:hAnsi="Times New Roman"/>
      <w:color w:val="007020"/>
      <w:sz w:val="24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6287e"/>
      <w:sz w:val="24"/>
    </w:rPr>
  </w:style>
  <w:style w:type="character" w:customStyle="1" w:styleId="VariableTok">
    <w:name w:val="VariableTok"/>
    <w:basedOn w:val="VerbatimChar"/>
    <w:rPr>
      <w:rFonts w:ascii="Times New Roman" w:hAnsi="Times New Roman"/>
      <w:color w:val="19177c"/>
      <w:sz w:val="24"/>
    </w:rPr>
  </w:style>
  <w:style w:type="character" w:customStyle="1" w:styleId="ControlFlowTok">
    <w:name w:val="ControlFlowTok"/>
    <w:basedOn w:val="VerbatimChar"/>
    <w:rPr>
      <w:rFonts w:ascii="Times New Roman" w:hAnsi="Times New Roman"/>
      <w:b/>
      <w:color w:val="007020"/>
      <w:sz w:val="24"/>
    </w:rPr>
  </w:style>
  <w:style w:type="character" w:customStyle="1" w:styleId="OperatorTok">
    <w:name w:val="OperatorTok"/>
    <w:basedOn w:val="VerbatimChar"/>
    <w:rPr>
      <w:rFonts w:ascii="Times New Roman" w:hAnsi="Times New Roman"/>
      <w:color w:val="666666"/>
      <w:sz w:val="24"/>
    </w:rPr>
  </w:style>
  <w:style w:type="character" w:customStyle="1" w:styleId="BuiltInTok">
    <w:name w:val="BuiltInTok"/>
    <w:basedOn w:val="VerbatimChar"/>
    <w:rPr>
      <w:rFonts w:ascii="Times New Roman" w:hAnsi="Times New Roman"/>
      <w:color w:val="008000"/>
      <w:sz w:val="24"/>
    </w:rPr>
  </w:style>
  <w:style w:type="character" w:customStyle="1" w:styleId="ExtensionTok">
    <w:name w:val="ExtensionTok"/>
    <w:basedOn w:val="VerbatimChar"/>
    <w:rPr>
      <w:rFonts w:ascii="Times New Roman" w:hAnsi="Times New Roman"/>
      <w:sz w:val="24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bc7a00"/>
      <w:sz w:val="24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7d9029"/>
      <w:sz w:val="24"/>
    </w:rPr>
  </w:style>
  <w:style w:type="character" w:customStyle="1" w:styleId="RegionMarkerTok">
    <w:name w:val="RegionMarkerTok"/>
    <w:basedOn w:val="VerbatimChar"/>
    <w:rPr>
      <w:rFonts w:ascii="Times New Roman" w:hAnsi="Times New Roman"/>
      <w:sz w:val="24"/>
    </w:rPr>
  </w:style>
  <w:style w:type="character" w:customStyle="1" w:styleId="InformationTok">
    <w:name w:val="InformationTok"/>
    <w:basedOn w:val="VerbatimChar"/>
    <w:rPr>
      <w:rFonts w:ascii="Times New Roman" w:hAnsi="Times New Roman"/>
      <w:b/>
      <w:i/>
      <w:color w:val="60a0b0"/>
      <w:sz w:val="24"/>
    </w:rPr>
  </w:style>
  <w:style w:type="character" w:customStyle="1" w:styleId="WarningTok">
    <w:name w:val="WarningTok"/>
    <w:basedOn w:val="VerbatimChar"/>
    <w:rPr>
      <w:rFonts w:ascii="Times New Roman" w:hAnsi="Times New Roman"/>
      <w:b/>
      <w:i/>
      <w:color w:val="60a0b0"/>
      <w:sz w:val="24"/>
    </w:rPr>
  </w:style>
  <w:style w:type="character" w:customStyle="1" w:styleId="AlertTok">
    <w:name w:val="AlertTok"/>
    <w:basedOn w:val="VerbatimChar"/>
    <w:rPr>
      <w:rFonts w:ascii="Times New Roman" w:hAnsi="Times New Roman"/>
      <w:b/>
      <w:color w:val="ff0000"/>
      <w:sz w:val="24"/>
    </w:rPr>
  </w:style>
  <w:style w:type="character" w:customStyle="1" w:styleId="ErrorTok">
    <w:name w:val="ErrorTok"/>
    <w:basedOn w:val="VerbatimChar"/>
    <w:rPr>
      <w:rFonts w:ascii="Times New Roman" w:hAnsi="Times New Roman"/>
      <w:b/>
      <w:color w:val="ff0000"/>
      <w:sz w:val="24"/>
    </w:rPr>
  </w:style>
  <w:style w:type="character" w:customStyle="1" w:styleId="NormalTok">
    <w:name w:val="NormalTok"/>
    <w:basedOn w:val="VerbatimChar"/>
    <w:rPr>
      <w:rFonts w:ascii="Times New Roman" w:hAnsi="Times New Roman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5" Type="http://schemas.openxmlformats.org/officeDocument/2006/relationships/image" Target="media/rId35.png"/><Relationship Id="rId22" Type="http://schemas.openxmlformats.org/officeDocument/2006/relationships/image" Target="media/rId22.png"/><Relationship Id="rId27" Type="http://schemas.openxmlformats.org/officeDocument/2006/relationships/image" Target="media/rId27.png"/><Relationship Id="rId43" Type="http://schemas.openxmlformats.org/officeDocument/2006/relationships/image" Target="media/rId43.png"/><Relationship Id="rId40" Type="http://schemas.openxmlformats.org/officeDocument/2006/relationships/image" Target="media/rId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2026-08-15T23:02:03Z</dcterms:created>
  <dcterms:modified xsi:type="dcterms:W3CDTF">2026-08-15T23:02:03Z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