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Este manuscrito demonstra o pipeline de produção científica do OpenCode</w:t>
      </w:r>
      <w:r>
        <w:t xml:space="preserve"> </w:t>
      </w:r>
      <w:r>
        <w:t xml:space="preserve">Ecosystem Core, com a fórmula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formatada em ambiente matemático,</w:t>
      </w:r>
      <w:r>
        <w:t xml:space="preserve"> </w:t>
      </w:r>
      <w:r>
        <w:t xml:space="preserve">e a estrutura canônica de pasta única contendo todos os compilados.</w:t>
      </w:r>
    </w:p>
    <w:bookmarkEnd w:id="20"/>
    <w:bookmarkStart w:id="21" w:name="metodologia"/>
    <w:p>
      <w:pPr>
        <w:pStyle w:val="Heading2"/>
      </w:pPr>
      <w:r>
        <w:t xml:space="preserve">Metodologia</w:t>
      </w:r>
    </w:p>
    <w:p>
      <w:pPr>
        <w:pStyle w:val="FirstParagraph"/>
      </w:pPr>
      <w:r>
        <w:t xml:space="preserve">O pipeline converte a fonte Markdown canônica em LaTeX (template Qualis A1),</w:t>
      </w:r>
      <w:r>
        <w:t xml:space="preserve"> </w:t>
      </w:r>
      <w:r>
        <w:t xml:space="preserve">e compila os formatos PDF, DOCX e ODT (compatível com Amazon KDP), gerando</w:t>
      </w:r>
      <w:r>
        <w:t xml:space="preserve"> </w:t>
      </w:r>
      <w:r>
        <w:t xml:space="preserve">um manifesto auditável com checksums SHA-256 de cada artefato.</w:t>
      </w:r>
    </w:p>
    <w:bookmarkEnd w:id="21"/>
    <w:bookmarkStart w:id="22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 pasta única garante rastreabilidade completa da produção, do fonte ao</w:t>
      </w:r>
      <w:r>
        <w:t xml:space="preserve"> </w:t>
      </w:r>
      <w:r>
        <w:t xml:space="preserve">compilado, atendendo ao rigor de reprodutibilidade Qualis A1.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2026-07-05T09:21:20Z</dcterms:created>
  <dcterms:modified xsi:type="dcterms:W3CDTF">2026-07-05T09:21:20Z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