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p>
      <w:pPr>
        <w:spacing w:after="40"/>
      </w:pPr>
    </w:p>
    <w:p>
      <w:pPr>
        <w:spacing w:after="80" w:before="0" w:line="240" w:lineRule="auto"/>
        <w:ind w:firstLine="0"/>
        <w:jc w:val="center"/>
      </w:pPr>
      <w:r>
        <w:rPr>
          <w:rFonts w:ascii="Times New Roman" w:hAnsi="Times New Roman"/>
          <w:b/>
          <w:i w:val="0"/>
          <w:sz w:val="28"/>
        </w:rPr>
        <w:t>IA GENERATIVA NA EDUCAÇÃO JURÍDICA BRASILEIRA</w:t>
        <w:br/>
        <w:t>ENTRE A REGULAÇÃO E A SALA DE AULA</w:t>
      </w:r>
    </w:p>
    <w:p>
      <w:pPr>
        <w:spacing w:after="360" w:before="0" w:line="240" w:lineRule="auto"/>
        <w:ind w:firstLine="0"/>
        <w:jc w:val="center"/>
      </w:pPr>
      <w:r>
        <w:rPr>
          <w:rFonts w:ascii="Times New Roman" w:hAnsi="Times New Roman"/>
          <w:b w:val="0"/>
          <w:i w:val="0"/>
          <w:sz w:val="24"/>
        </w:rPr>
        <w:t>Protocolo e arquitetura de revisão de escopo Brasil-comparado sobre ética, governança algorítmica e equidade (2020–2025)</w:t>
      </w:r>
    </w:p>
    <w:p>
      <w:pPr>
        <w:spacing w:after="400" w:before="0" w:line="240" w:lineRule="auto"/>
        <w:ind w:firstLine="0"/>
        <w:jc w:val="center"/>
      </w:pPr>
      <w:r>
        <w:rPr>
          <w:rFonts w:ascii="Times New Roman" w:hAnsi="Times New Roman"/>
          <w:b w:val="0"/>
          <w:i/>
          <w:sz w:val="20"/>
        </w:rPr>
        <w:t>Versão anônima para avaliação editorial futura — autoria e folha de identificação devem ser enviadas separadamente conforme a revista-alvo.</w:t>
      </w:r>
    </w:p>
    <w:p>
      <w:pPr>
        <w:spacing w:after="120" w:before="0" w:line="240" w:lineRule="auto"/>
        <w:ind w:firstLine="0"/>
        <w:jc w:val="center"/>
      </w:pPr>
      <w:r>
        <w:rPr>
          <w:rFonts w:ascii="Times New Roman" w:hAnsi="Times New Roman"/>
          <w:b w:val="0"/>
          <w:i/>
          <w:sz w:val="18"/>
        </w:rPr>
        <w:t>Artigo original — Revisão de Escopo (Scoping Review) — Protocolo PRISMA-ScR / JBI</w:t>
      </w:r>
    </w:p>
    <w:p>
      <w:pPr>
        <w:spacing w:after="240" w:before="0" w:line="240" w:lineRule="auto"/>
        <w:ind w:firstLine="0"/>
        <w:jc w:val="center"/>
      </w:pPr>
      <w:r>
        <w:rPr>
          <w:rFonts w:ascii="Times New Roman" w:hAnsi="Times New Roman"/>
          <w:b w:val="0"/>
          <w:i w:val="0"/>
          <w:sz w:val="16"/>
        </w:rPr>
        <w:t>Área: Ensino — Linha: Educação Jurídica — Meta de rigor: Qualis A1 (tratada como meta, não garantia)</w:t>
      </w:r>
    </w:p>
    <w:p>
      <w:r>
        <w:br w:type="page"/>
      </w:r>
    </w:p>
    <w:p>
      <w:pPr>
        <w:pStyle w:val="Heading1"/>
        <w:spacing w:after="120" w:before="240" w:line="240" w:lineRule="auto"/>
        <w:jc w:val="center"/>
      </w:pPr>
      <w:r>
        <w:rPr>
          <w:rFonts w:ascii="Times New Roman" w:hAnsi="Times New Roman"/>
          <w:b/>
          <w:color w:val="000000"/>
          <w:sz w:val="24"/>
        </w:rPr>
        <w:t>RESUMO</w:t>
      </w:r>
    </w:p>
    <w:p>
      <w:pPr>
        <w:spacing w:after="160" w:before="0" w:line="240" w:lineRule="auto"/>
        <w:ind w:firstLine="0"/>
        <w:jc w:val="both"/>
      </w:pPr>
      <w:r>
        <w:rPr>
          <w:rFonts w:ascii="Times New Roman" w:hAnsi="Times New Roman"/>
          <w:b w:val="0"/>
          <w:i w:val="0"/>
          <w:sz w:val="20"/>
        </w:rPr>
        <w:t>Introdução. A difusão da inteligência artificial generativa (IAGen) na educação jurídica amplia possibilidades de apoio à aprendizagem, mas também intensifica questões de integridade acadêmica, proteção de dados, transparência, supervisão humana e equidade. Objetivo. Mapear a literatura científica publicada entre 2020 e 2026 sobre implementação ética, transparente e equitativa de IAGen na educação jurídica brasileira, em perspectiva comparada com União Europeia, Portugal, Alemanha e Estados Unidos. Método. Revisão de escopo orientada pelo Joanna Briggs Institute e relatada segundo PRISMA-ScR, com buscas em OpenAlex e DOAJ, triagem manual com apoio de IA (RH1×RH2), extração padronizada e síntese descritiva e temática; 21 estudos incluídos após consenso documentado. Resultados. A literatura concentra-se em marcos normativos (D1 = 95,2%) e fundamentos éticos (E1 = 95,2%); ética e responsabilidade profissional (D4 = 76,2%) e letramento/competências (D3 = 52,4%) consolidam-se; abordagens pedagógicas com IA como método permanecem minoritárias (D5 = 33,3%) e equidade/acesso é o eixo menos representado (D6 = 38,1%). Conclusão. Confirma-se a assimetria norma-prática: prevalência regulatória e ética sem densidade de evidência pedagógica; a lacuna de equidade algorítmica no ensino jurídico brasileiro permanece como agenda prioritária.</w:t>
      </w:r>
    </w:p>
    <w:p>
      <w:pPr>
        <w:spacing w:after="240"/>
        <w:ind w:firstLine="0"/>
      </w:pPr>
      <w:r>
        <w:rPr>
          <w:rFonts w:ascii="Times New Roman" w:hAnsi="Times New Roman"/>
          <w:b/>
          <w:sz w:val="20"/>
        </w:rPr>
        <w:t xml:space="preserve">Palavras-chave: </w:t>
      </w:r>
      <w:r>
        <w:rPr>
          <w:rFonts w:ascii="Times New Roman" w:hAnsi="Times New Roman"/>
          <w:sz w:val="20"/>
        </w:rPr>
        <w:t>inteligência artificial generativa; educação jurídica; ética; governança algorítmica; equidade; revisão de escopo.</w:t>
      </w:r>
    </w:p>
    <w:p>
      <w:pPr>
        <w:pStyle w:val="Heading1"/>
        <w:spacing w:after="120" w:before="240" w:line="240" w:lineRule="auto"/>
        <w:jc w:val="center"/>
      </w:pPr>
      <w:r>
        <w:rPr>
          <w:rFonts w:ascii="Times New Roman" w:hAnsi="Times New Roman"/>
          <w:b/>
          <w:color w:val="000000"/>
          <w:sz w:val="24"/>
        </w:rPr>
        <w:t>ABSTRACT</w:t>
      </w:r>
    </w:p>
    <w:p>
      <w:pPr>
        <w:spacing w:after="160" w:before="0" w:line="240" w:lineRule="auto"/>
        <w:ind w:firstLine="0"/>
        <w:jc w:val="both"/>
      </w:pPr>
      <w:r>
        <w:rPr>
          <w:rFonts w:ascii="Times New Roman" w:hAnsi="Times New Roman"/>
          <w:b w:val="0"/>
          <w:i w:val="0"/>
          <w:sz w:val="20"/>
        </w:rPr>
        <w:t>Introduction. The diffusion of generative artificial intelligence (GenAI) in legal education creates opportunities for learning support while raising concerns about academic integrity, data protection, transparency, human oversight and equity. Objective. To map scientific literature published from 2020 to 2026 on the ethical, transparent and equitable implementation of GenAI in Brazilian legal education, with comparisons involving the European Union, Portugal, Germany and the United States. Method. A scoping review guided by the Joanna Briggs Institute and reported according to PRISMA-ScR, with searches in OpenAlex and DOAJ, manual screening supported by AI (RH1×RH2), standardized extraction and descriptive and thematic synthesis; 21 studies included after documented consensus. Results. The literature concentrates on regulatory frameworks (D1 = 95.2%) and ethical foundations (E1 = 95.2%); professional ethics and responsibility (D4 = 76.2%) and AI literacy/competencies (D3 = 52.4%) are consolidated; pedagogical approaches using AI as a method remain minority (D5 = 33.3%) and equity/access is the least represented axis (D6 = 38.1%). Conclusion. The norm-practice asymmetry is confirmed: regulatory and ethical prevalence without pedagogical evidence density; the algorithmic equity gap in Brazilian legal education remains a priority agenda.</w:t>
      </w:r>
    </w:p>
    <w:p>
      <w:pPr>
        <w:spacing w:after="240"/>
        <w:ind w:firstLine="0"/>
      </w:pPr>
      <w:r>
        <w:rPr>
          <w:rFonts w:ascii="Times New Roman" w:hAnsi="Times New Roman"/>
          <w:b/>
          <w:sz w:val="20"/>
        </w:rPr>
        <w:t xml:space="preserve">Keywords: </w:t>
      </w:r>
      <w:r>
        <w:rPr>
          <w:rFonts w:ascii="Times New Roman" w:hAnsi="Times New Roman"/>
          <w:sz w:val="20"/>
        </w:rPr>
        <w:t>generative artificial intelligence; legal education; ethics; algorithmic governance; equity; scoping review.</w:t>
      </w:r>
    </w:p>
    <w:p>
      <w:pPr>
        <w:pStyle w:val="Heading1"/>
        <w:spacing w:after="120" w:before="240" w:line="240" w:lineRule="auto"/>
        <w:jc w:val="left"/>
      </w:pPr>
      <w:r>
        <w:rPr>
          <w:rFonts w:ascii="Times New Roman" w:hAnsi="Times New Roman"/>
          <w:b/>
          <w:color w:val="000000"/>
          <w:sz w:val="24"/>
        </w:rPr>
        <w:t>1 INTRODUÇÃO</w:t>
      </w:r>
    </w:p>
    <w:p>
      <w:pPr>
        <w:spacing w:after="120" w:before="0" w:line="360" w:lineRule="auto"/>
        <w:ind w:firstLine="709"/>
        <w:jc w:val="both"/>
      </w:pPr>
      <w:r>
        <w:rPr>
          <w:rFonts w:ascii="Times New Roman" w:hAnsi="Times New Roman"/>
          <w:b w:val="0"/>
          <w:i w:val="0"/>
          <w:sz w:val="24"/>
        </w:rPr>
        <w:t>A chegada de ferramentas de inteligência artificial generativa (IAGen) de acesso público — ChatGPT (nov. 2022), Gemini e congêneres — expôs a educação superior em Direito no Brasil a um ponto de inflexão epistemológico, pedagógico e regulatório. A literatura sentinela de Paula (2026) demonstra que o fenômeno não é periférico: ele tensiona a integridade acadêmica, a avaliação da aprendizagem e a formação do raciocínio jurídico, exigindo resposta institucional que preserve a vocação humanista do Direito sem ignorar o paradigma tecnológico emergente.</w:t>
      </w:r>
    </w:p>
    <w:p>
      <w:pPr>
        <w:spacing w:after="120" w:before="0" w:line="360" w:lineRule="auto"/>
        <w:ind w:firstLine="709"/>
        <w:jc w:val="both"/>
      </w:pPr>
      <w:r>
        <w:rPr>
          <w:rFonts w:ascii="Times New Roman" w:hAnsi="Times New Roman"/>
          <w:b w:val="0"/>
          <w:i w:val="0"/>
          <w:sz w:val="24"/>
        </w:rPr>
        <w:t>No plano normativo, o Brasil acumula camadas que já conformam o uso educacional de IA, ainda que de forma fragmentada: a Lei Geral de Proteção de Dados (Lei n. 13.709/2018), o Marco Civil da Internet, o Projeto de Lei n. 2.338/2023 (Marco Legal da IA, aprovado no Senado em dezembro de 2024 e em tramitação na Câmara dos Deputados em 2026, com 68 obrigações mapeadas pelo ITS Rio), e a Resolução CNJ n. 615/2025 (DJe n. 54/2025, 14 mar 2025, p. 2-17), que institui governança, classificação de risco, avaliação de impacto algorítmico obrigatória para alto risco e o catálogo Sinapses, com capítulo específico para large language models (LLMs) e IAGen (arts. 19-21).</w:t>
      </w:r>
    </w:p>
    <w:p>
      <w:pPr>
        <w:spacing w:after="120" w:before="0" w:line="360" w:lineRule="auto"/>
        <w:ind w:firstLine="709"/>
        <w:jc w:val="both"/>
      </w:pPr>
      <w:r>
        <w:rPr>
          <w:rFonts w:ascii="Times New Roman" w:hAnsi="Times New Roman"/>
          <w:b w:val="0"/>
          <w:i w:val="0"/>
          <w:sz w:val="24"/>
        </w:rPr>
        <w:t>Em perspectiva comparada, a União Europeia publicou o AI Act (Regulamento (UE) 2024/1689, JOUE 12 jul 2024, vigor 01 ago 2024, aplicação faseada até 02 ago 2026/2027), adotando arquitetura risk-based em quatro níveis (inaceitável, alto, limitado, mínimo) e listando educação e emprego como domínios de alto risco (Anexo III). Portugal, via Circular da Ordem dos Advogados Portuguesa (2023), transpõe essa lógica para a deontologia e a formação. Os Estados Unidos mantêm regulação setorial descentralizada, e a UNESCO (Guidance, 2023, DOI 10.54675/EWZM9535) propõe sete passos humanocêntricos, idade mínima de 13 anos para uso autônomo e validação ético-pedagógica pelas instituições (menos de 10% das 450 instituições pesquisadas tinham política para IAGen).</w:t>
      </w:r>
    </w:p>
    <w:p>
      <w:pPr>
        <w:spacing w:after="120" w:before="0" w:line="360" w:lineRule="auto"/>
        <w:ind w:firstLine="709"/>
        <w:jc w:val="both"/>
      </w:pPr>
      <w:r>
        <w:rPr>
          <w:rFonts w:ascii="Times New Roman" w:hAnsi="Times New Roman"/>
          <w:b w:val="0"/>
          <w:i w:val="0"/>
          <w:sz w:val="24"/>
        </w:rPr>
        <w:t>O descompasso é o problema: proliferação normativa versus ausência de diretrizes pedagógicas operacionais, equitativas e auditáveis para a sala de aula jurídica. A revisão sistemática sentinela de Valencia Jiménez e Beltrán Pacheco (2025), com 19 artigos incluídos (PRISMA, Scopus/WoS, 136→19), oferece a medida desse descompasso: 57,89% dos estudos concentram-se em marcos regulatórios, 42,11% em comparação internacional e 42,11% em responsabilidade/rendição de contas, enquanto acesso à justiça/equidade é sub-representado e justiça social, governança algorítmica e direitos humanos configuram vácuo crítico (conclusão autoral). Carmo e Alves (2025), em análise documental de 13 documentos + AI Act/UNESCO/LGPD, confirmam a escassez quando se cruza ética, tecnologia e ensino jurídico-tributário, propondo o princípio da Transparência Hermenêutica. Abal e Pilati (2025), com GPTs personalizados (tutoria, mentoria reversa, simulação de escritório), evidenciam que o ganho de engajamento só se sustenta com letramento crítico — sob risco de plágio, alucinação e viés.</w:t>
      </w:r>
    </w:p>
    <w:p>
      <w:pPr>
        <w:spacing w:after="120" w:before="0" w:line="360" w:lineRule="auto"/>
        <w:ind w:firstLine="709"/>
        <w:jc w:val="both"/>
      </w:pPr>
      <w:r>
        <w:rPr>
          <w:rFonts w:ascii="Times New Roman" w:hAnsi="Times New Roman"/>
          <w:b w:val="0"/>
          <w:i w:val="0"/>
          <w:sz w:val="24"/>
        </w:rPr>
        <w:t>Este manuscrito situa-se no campo da Educação e da educação jurídica e formula a ponte obrigatória entre IA e Direito via Educação Jurídica e propõe fechar o elo perdido por meio de síntese secundária rigorosa. A pergunta que orienta o protocolo, no formato PICo comparado, é: Que evidências, princípios e lacunas a literatura científica (2020-2025) apresenta sobre a implementação ética, transparente e equitativa de IA Generativa na educação jurídica brasileira em perspectiva comparada (UE, Portugal, Alemanha, EUA, UNESCO)?</w:t>
      </w:r>
    </w:p>
    <w:p>
      <w:pPr>
        <w:spacing w:after="120" w:before="0" w:line="360" w:lineRule="auto"/>
        <w:ind w:firstLine="709"/>
        <w:jc w:val="both"/>
      </w:pPr>
      <w:r>
        <w:rPr>
          <w:rFonts w:ascii="Times New Roman" w:hAnsi="Times New Roman"/>
          <w:b w:val="0"/>
          <w:i w:val="0"/>
          <w:sz w:val="24"/>
        </w:rPr>
        <w:t>A contribuição é tripla: (a) demonstrar com método reprodutível que o GAP não é retórico, mas mensurável; (b) oferecer matriz comparativa normativa Brasil vs UE/Portugal/Alemanha/EUA/UNESCO para a discussão pedagógica; (c) propor agenda de pesquisa e princípios operacionais (Transparência Hermenêutica) contextualizados ao Ensino. Trata-se de revisão de escopo (scoping review) executada com fonte de dados real e auditável (log e matriz), desenhada para mapear campo heterogêneo e identificar lacunas, com relato PRISMA-ScR e registro OSF pendente de depósito. Os resultados são reportados a partir da execução e auditoria da busca, triagem e extração realizadas em setembro de 2026.</w:t>
      </w:r>
    </w:p>
    <w:p>
      <w:pPr>
        <w:pStyle w:val="Heading1"/>
        <w:spacing w:after="120" w:before="240" w:line="240" w:lineRule="auto"/>
        <w:jc w:val="left"/>
      </w:pPr>
      <w:r>
        <w:rPr>
          <w:rFonts w:ascii="Times New Roman" w:hAnsi="Times New Roman"/>
          <w:b/>
          <w:color w:val="000000"/>
          <w:sz w:val="24"/>
        </w:rPr>
        <w:t>2 REFERENCIAL TEÓRICO</w:t>
      </w:r>
    </w:p>
    <w:p>
      <w:pPr>
        <w:pStyle w:val="Heading2"/>
        <w:spacing w:after="120" w:before="240" w:line="240" w:lineRule="auto"/>
        <w:jc w:val="left"/>
      </w:pPr>
      <w:r>
        <w:rPr>
          <w:rFonts w:ascii="Times New Roman" w:hAnsi="Times New Roman"/>
          <w:b/>
          <w:color w:val="000000"/>
          <w:sz w:val="24"/>
        </w:rPr>
        <w:t>2.1 IA Generativa, LLMs e educação: o que está em jogo</w:t>
      </w:r>
    </w:p>
    <w:p>
      <w:pPr>
        <w:spacing w:after="120" w:before="0" w:line="360" w:lineRule="auto"/>
        <w:ind w:firstLine="709"/>
        <w:jc w:val="both"/>
      </w:pPr>
      <w:r>
        <w:rPr>
          <w:rFonts w:ascii="Times New Roman" w:hAnsi="Times New Roman"/>
          <w:b w:val="0"/>
          <w:i w:val="0"/>
          <w:sz w:val="24"/>
        </w:rPr>
        <w:t>IAGen e LLMs são sistemas que processam e geram texto, imagem, código e outros artefatos a partir de grandes bases de dados, por predição estatística (UNESCO, 2023). Na educação, seu potencial reside em personalização, organização da informação e apoio à argumentação, mas seus riscos são imediatos: segurança, privacidade, direitos autorais, manipulação, exclusão digital, dependência tecnológica e perda de controle do processo educacional (UNESCO, 2023; ABAL; PILATI, 2025). A UNESCO alerta que a ausência de regulação nacional na maioria dos países deixa dados desprotegidos e instituições despreparadas — menos de 10% tinham políticas formais — e que a validação deve ser dupla: ética e pedagógica, humanocêntrica, com proteção de agência humana, inclusão, equidade e diversidade linguístico-cultural. O horizonte EdGPT — modelos fundacionais refinados com conhecimento pedagógico e de interação professor-estudante — ainda depende de pesquisa robusta sobre coleta ética de dados e sobre não violação de direitos humanos (UNESCO, 2023).</w:t>
      </w:r>
    </w:p>
    <w:p>
      <w:pPr>
        <w:spacing w:after="120" w:before="0" w:line="360" w:lineRule="auto"/>
        <w:ind w:firstLine="709"/>
        <w:jc w:val="both"/>
      </w:pPr>
      <w:r>
        <w:rPr>
          <w:rFonts w:ascii="Times New Roman" w:hAnsi="Times New Roman"/>
          <w:b w:val="0"/>
          <w:i w:val="0"/>
          <w:sz w:val="24"/>
        </w:rPr>
        <w:t>No ensino jurídico, a literatura converge para sete tensões: (1) epistemológica (o que conta como saber jurídico quando a síntese é automatizada), (2) pedagógica (como ensinar raciocínio jurídico sem terceirizar crítica), (3) avaliativa (como avaliar autoria e integridade), (4) ética (plágio, alucinação, viés), (5) jurídica (LGPD, direitos autorais no treino), (6) institucional (quem governa e audita) e (7) equitativa (quem acessa e quem fica para trás).</w:t>
      </w:r>
    </w:p>
    <w:p>
      <w:pPr>
        <w:pStyle w:val="Heading2"/>
        <w:spacing w:after="120" w:before="240" w:line="240" w:lineRule="auto"/>
        <w:jc w:val="left"/>
      </w:pPr>
      <w:r>
        <w:rPr>
          <w:rFonts w:ascii="Times New Roman" w:hAnsi="Times New Roman"/>
          <w:b/>
          <w:color w:val="000000"/>
          <w:sz w:val="24"/>
        </w:rPr>
        <w:t>2.2 Educação jurídica brasileira: DCNs, currículo e avaliação sob IAGen</w:t>
      </w:r>
    </w:p>
    <w:p>
      <w:pPr>
        <w:spacing w:after="120" w:before="0" w:line="360" w:lineRule="auto"/>
        <w:ind w:firstLine="709"/>
        <w:jc w:val="both"/>
      </w:pPr>
      <w:r>
        <w:rPr>
          <w:rFonts w:ascii="Times New Roman" w:hAnsi="Times New Roman"/>
          <w:b w:val="0"/>
          <w:i w:val="0"/>
          <w:sz w:val="24"/>
        </w:rPr>
        <w:t>As Diretrizes Curriculares Nacionais (DCNs) do curso de Direito exigem compreensão crítica dos impactos das tecnologias, ética e pensamento crítico. Paula (2026), em perspectiva comparada, e Silva (2025, UFF, ancorado em Morin), convergem: o fator interveniente decisivo não é a ferramenta, mas o desenvolvimento de competências e de ética digital. Ghirardi e Feferbaum (FGV, 2023) mapearam práticas discentes preliminares no Brasil, evidenciando uso heterogêneo e demanda por orientação. A lacuna curricular é, portanto, dupla: ausência de letramento em IA para docentes/discentes e ausência de desenhos avaliativos que preservem autoria sem proibir uso.</w:t>
      </w:r>
    </w:p>
    <w:p>
      <w:pPr>
        <w:pStyle w:val="Heading2"/>
        <w:spacing w:after="120" w:before="240" w:line="240" w:lineRule="auto"/>
        <w:jc w:val="left"/>
      </w:pPr>
      <w:r>
        <w:rPr>
          <w:rFonts w:ascii="Times New Roman" w:hAnsi="Times New Roman"/>
          <w:b/>
          <w:color w:val="000000"/>
          <w:sz w:val="24"/>
        </w:rPr>
        <w:t>2.3 Marcos normativos em perspectiva comparada (2020-2025)</w:t>
      </w:r>
    </w:p>
    <w:p>
      <w:pPr>
        <w:spacing w:after="120" w:before="0" w:line="360" w:lineRule="auto"/>
        <w:ind w:firstLine="709"/>
        <w:jc w:val="both"/>
      </w:pPr>
      <w:r>
        <w:rPr>
          <w:rFonts w:ascii="Times New Roman" w:hAnsi="Times New Roman"/>
          <w:b w:val="0"/>
          <w:i w:val="0"/>
          <w:sz w:val="24"/>
        </w:rPr>
        <w:t>Brasil. O PL 2.338/2023 estrutura-se em fundamentos (centralidade da pessoa humana, direitos humanos, educação para cidadania — art. 2º XIII, proteção de vulneráveis e de crianças/adolescentes — art. 2º XIV) e princípios (supervisão humana efetiva, não discriminação, transparência). O art. 14, II, classifica como alto risco sistemas usados como fator determinante em seleção de estudantes, avaliações determinantes do progresso acadêmico ou monitoramento de estudantes (ressalvada segurança), com impacto direto na educação jurídica. O capítulo de direitos do afetado consagra explicação, contestação e revisão humana. Os arts. 29 (avaliação preliminar para IAGen e modelos de propósito geral) e 25 (avaliação de impacto algorítmico para alto risco) e o Sistema Nacional de Regulação e Governança (SIA, coord. ANPD, art. 45) completam a arquitetura. A ITS Rio (23 jun 2025) mapeou 68 obrigações no PL vs 43 no AI Act, com horizontalidade (34/68 solidárias) e 14 obrigações específicas para o setor público — inovação brasileira.</w:t>
      </w:r>
    </w:p>
    <w:p>
      <w:pPr>
        <w:spacing w:after="120" w:before="0" w:line="360" w:lineRule="auto"/>
        <w:ind w:firstLine="709"/>
        <w:jc w:val="both"/>
      </w:pPr>
      <w:r>
        <w:rPr>
          <w:rFonts w:ascii="Times New Roman" w:hAnsi="Times New Roman"/>
          <w:b w:val="0"/>
          <w:i w:val="0"/>
          <w:sz w:val="24"/>
        </w:rPr>
        <w:t>A Resolução CNJ 615/2025 (11 mar 2025) traduz parte dessa arquitetura para o Judiciário: governança, auditoria e monitoramento proporcionais ao risco (art. 1º §§1º-4º), compatibilidade com direitos fundamentais (art. 5º), preservação de igualdade e não discriminação (art. 8º), categorização de risco (art. 9º, Anexo), medidas de governança para alto risco (art. 13), avaliação de impacto algorítmico (art. 14), Comitê Nacional de IA do Judiciário (art. 15), uso e contratação de LLMs/SLMs/IAGen (arts. 19-20), indicação em interface de modelos/versão/código Sinapses (art. 21), conformidade com LGPD/LAI/propriedade intelectual e cadastro no Sinapses com sumário público de impacto para alto risco e publicação em linguagem simples (arts. 22-25).</w:t>
      </w:r>
    </w:p>
    <w:p>
      <w:pPr>
        <w:spacing w:after="120" w:before="120" w:line="240" w:lineRule="auto"/>
        <w:ind w:left="2268"/>
        <w:jc w:val="both"/>
      </w:pPr>
      <w:r>
        <w:rPr>
          <w:rFonts w:ascii="Times New Roman" w:hAnsi="Times New Roman"/>
          <w:sz w:val="20"/>
        </w:rPr>
        <w:t>Art. 14, II, PL 2.338/2023 — Considera-se de alto risco o sistema de IA utilizado como fator determinante na tomada de decisões de seleção de estudantes em processos de ingresso em instituições de ensino ou de formação profissional, ou para avaliações determinantes no progresso acadêmico ou monitoramento de estudantes, ressalvadas as hipóteses de monitoramento exclusivamente para finalidade de segurança (BRASIL, 2023).</w:t>
      </w:r>
    </w:p>
    <w:p>
      <w:pPr>
        <w:spacing w:after="120" w:before="0" w:line="360" w:lineRule="auto"/>
        <w:ind w:firstLine="709"/>
        <w:jc w:val="both"/>
      </w:pPr>
      <w:r>
        <w:rPr>
          <w:rFonts w:ascii="Times New Roman" w:hAnsi="Times New Roman"/>
          <w:b w:val="0"/>
          <w:i w:val="0"/>
          <w:sz w:val="24"/>
        </w:rPr>
        <w:t>União Europeia e Portugal. O AI Act (2024/1689) combina obrigações ex ante (gestão de risco, governança de dados, documentação, rastreabilidade, supervisão humana) e regime ex post de responsabilidade civil (Diretiva 2024/2853 + direitos nacionais). Juristech (18 abr 2026) sintetiza a diferença sistêmica: o PL brasileiro fecha o circuito (conformidade + responsabilidade objetiva/solidária na mesma lei, arts. 35-36), enquanto a UE separa funções. Em direitos autorais, o Brasil caminha para regime mais intervencionista (transparência de obras no treino + opt-out + remuneração) versus exceção de mineração de textos e dados (TDM) com reserva na UE. Portugal, via OAP Circular 2023, alinha deontologia e formação à transposição do AI Act e ao RGPD.</w:t>
      </w:r>
    </w:p>
    <w:p>
      <w:pPr>
        <w:spacing w:after="120" w:before="0" w:line="360" w:lineRule="auto"/>
        <w:ind w:firstLine="709"/>
        <w:jc w:val="both"/>
      </w:pPr>
      <w:r>
        <w:rPr>
          <w:rFonts w:ascii="Times New Roman" w:hAnsi="Times New Roman"/>
          <w:b w:val="0"/>
          <w:i w:val="0"/>
          <w:sz w:val="24"/>
        </w:rPr>
        <w:t>UNESCO (2023) ancora todo o edifício em abordagem humanocêntrica (Recomendação Ética IA 2021 + Beijing Consensus 2019), defendendo regulação que garanta agência humana, transparência e accountability pública, com extensão para currículo, ensino, aprendizagem e pesquisa.</w:t>
      </w:r>
    </w:p>
    <w:p>
      <w:pPr>
        <w:pStyle w:val="Heading2"/>
        <w:spacing w:after="120" w:before="240" w:line="240" w:lineRule="auto"/>
        <w:jc w:val="left"/>
      </w:pPr>
      <w:r>
        <w:rPr>
          <w:rFonts w:ascii="Times New Roman" w:hAnsi="Times New Roman"/>
          <w:b/>
          <w:color w:val="000000"/>
          <w:sz w:val="24"/>
        </w:rPr>
        <w:t>2.4 Transparência Hermenêutica como princípio operacional</w:t>
      </w:r>
    </w:p>
    <w:p>
      <w:pPr>
        <w:spacing w:after="120" w:before="0" w:line="360" w:lineRule="auto"/>
        <w:ind w:firstLine="709"/>
        <w:jc w:val="both"/>
      </w:pPr>
      <w:r>
        <w:rPr>
          <w:rFonts w:ascii="Times New Roman" w:hAnsi="Times New Roman"/>
          <w:b w:val="0"/>
          <w:i w:val="0"/>
          <w:sz w:val="24"/>
        </w:rPr>
        <w:t>Carmo e Alves (2025) avançam além da transparência algorítmica geral (informacional, art. 6º VI LGPD; publicidade art. 37 CF; fundamentação art. 93 IX CF) ao propor Transparência Hermenêutica como categoria dogmática autônoma: o sistema deve declarar qual método interpretativo adotou, em que base axiológica o fundamentou e quais limites sistemáticos — notadamente a tipicidade fechada do direito tributário (Queiroz; Baleeiro/Derzi) — circunscreveram sua operação. A coincidência nominal com transparência informacional é apenas aparente: aqui, exige-se auditabilidade do raciocínio, não apenas do resultado. O Supremo Tribunal Federal, na ADI 6.649/DF, já determinou explicabilidade de sistemas eletrônicos, fundamento jurisprudencial para o princípio. Em educação jurídica, a Transparência Hermenêutica operacionaliza-se em rubricas que exigem do estudante (e do docente que usa IAGen): declarar método, base axiológica e limites dentro dos quais a ferramenta operou.</w:t>
      </w:r>
    </w:p>
    <w:p>
      <w:pPr>
        <w:pStyle w:val="Heading1"/>
        <w:spacing w:after="120" w:before="240" w:line="240" w:lineRule="auto"/>
        <w:jc w:val="left"/>
      </w:pPr>
      <w:r>
        <w:rPr>
          <w:rFonts w:ascii="Times New Roman" w:hAnsi="Times New Roman"/>
          <w:b/>
          <w:color w:val="000000"/>
          <w:sz w:val="24"/>
        </w:rPr>
        <w:t>3 MÉTODO</w:t>
      </w:r>
    </w:p>
    <w:p>
      <w:pPr>
        <w:pStyle w:val="Heading2"/>
        <w:spacing w:after="120" w:before="240" w:line="240" w:lineRule="auto"/>
        <w:jc w:val="left"/>
      </w:pPr>
      <w:r>
        <w:rPr>
          <w:rFonts w:ascii="Times New Roman" w:hAnsi="Times New Roman"/>
          <w:b/>
          <w:color w:val="000000"/>
          <w:sz w:val="24"/>
        </w:rPr>
        <w:t>3.1 Desenho e diretriz de relato</w:t>
      </w:r>
    </w:p>
    <w:p>
      <w:pPr>
        <w:spacing w:after="120" w:before="0" w:line="360" w:lineRule="auto"/>
        <w:ind w:firstLine="709"/>
        <w:jc w:val="both"/>
      </w:pPr>
      <w:r>
        <w:rPr>
          <w:rFonts w:ascii="Times New Roman" w:hAnsi="Times New Roman"/>
          <w:b w:val="0"/>
          <w:i w:val="0"/>
          <w:sz w:val="24"/>
        </w:rPr>
        <w:t>Foi conduzida revisão de escopo orientada pela metodologia do Joanna Briggs Institute, com relato segundo PRISMA-ScR. A escolha decorreu da heterogeneidade esperada do campo, que reuniu estudos pedagógicos, análises documentais, relatos de experiência e literatura normativa. O objetivo foi mapear conceitos, tipos de evidência e lacunas, e não estimar um efeito agregado.</w:t>
      </w:r>
    </w:p>
    <w:p>
      <w:pPr>
        <w:pStyle w:val="Heading2"/>
        <w:spacing w:after="120" w:before="240" w:line="240" w:lineRule="auto"/>
        <w:jc w:val="left"/>
      </w:pPr>
      <w:r>
        <w:rPr>
          <w:rFonts w:ascii="Times New Roman" w:hAnsi="Times New Roman"/>
          <w:b/>
          <w:color w:val="000000"/>
          <w:sz w:val="24"/>
        </w:rPr>
        <w:t>3.2 Protocolo e registro</w:t>
      </w:r>
    </w:p>
    <w:p>
      <w:pPr>
        <w:spacing w:after="120" w:before="0" w:line="360" w:lineRule="auto"/>
        <w:ind w:firstLine="709"/>
        <w:jc w:val="both"/>
      </w:pPr>
      <w:r>
        <w:rPr>
          <w:rFonts w:ascii="Times New Roman" w:hAnsi="Times New Roman"/>
          <w:b w:val="0"/>
          <w:i w:val="0"/>
          <w:sz w:val="24"/>
        </w:rPr>
        <w:t>O protocolo deve ser registrado no Open Science Framework antes da execução definitiva da revisão. Na data desta versão, o arquivo fornecido contém apenas o campo de registro a criar; portanto, nenhum DOI ou URL de registro é declarado como existente. Strings, critérios de elegibilidade, formulário de extração e eventuais emendas deverão ser versionados.</w:t>
      </w:r>
    </w:p>
    <w:p>
      <w:pPr>
        <w:pStyle w:val="Heading2"/>
        <w:spacing w:after="120" w:before="240" w:line="240" w:lineRule="auto"/>
        <w:jc w:val="left"/>
      </w:pPr>
      <w:r>
        <w:rPr>
          <w:rFonts w:ascii="Times New Roman" w:hAnsi="Times New Roman"/>
          <w:b/>
          <w:color w:val="000000"/>
          <w:sz w:val="24"/>
        </w:rPr>
        <w:t>3.3 Pergunta e escopo</w:t>
      </w:r>
    </w:p>
    <w:p>
      <w:pPr>
        <w:spacing w:after="120" w:before="0" w:line="360" w:lineRule="auto"/>
        <w:ind w:firstLine="709"/>
        <w:jc w:val="both"/>
      </w:pPr>
      <w:r>
        <w:rPr>
          <w:rFonts w:ascii="Times New Roman" w:hAnsi="Times New Roman"/>
          <w:b w:val="0"/>
          <w:i w:val="0"/>
          <w:sz w:val="24"/>
        </w:rPr>
        <w:t>Pergunta principal: que evidências, princípios e lacunas a literatura científica de 2020–2025 apresenta sobre a implementação ética, transparente e equitativa de IAGen na educação jurídica brasileira em perspectiva comparada? População/contexto: educação jurídica superior e educação judicial; conceito: IAGen/LLMs em ensino, aprendizagem e avaliação; contexto comparado: Brasil, União Europeia, Portugal, Alemanha e Estados Unidos, com documentos internacionais pertinentes.</w:t>
      </w:r>
    </w:p>
    <w:p>
      <w:pPr>
        <w:pStyle w:val="Heading2"/>
        <w:spacing w:after="120" w:before="240" w:line="240" w:lineRule="auto"/>
        <w:jc w:val="left"/>
      </w:pPr>
      <w:r>
        <w:rPr>
          <w:rFonts w:ascii="Times New Roman" w:hAnsi="Times New Roman"/>
          <w:b/>
          <w:color w:val="000000"/>
          <w:sz w:val="24"/>
        </w:rPr>
        <w:t>3.4 Fontes de informação e busca</w:t>
      </w:r>
    </w:p>
    <w:p>
      <w:pPr>
        <w:spacing w:after="120" w:before="0" w:line="360" w:lineRule="auto"/>
        <w:ind w:firstLine="709"/>
        <w:jc w:val="both"/>
      </w:pPr>
      <w:r>
        <w:rPr>
          <w:rFonts w:ascii="Times New Roman" w:hAnsi="Times New Roman"/>
          <w:b w:val="0"/>
          <w:i w:val="0"/>
          <w:sz w:val="24"/>
        </w:rPr>
        <w:t>As buscas foram executadas em bases acessíveis e auditáveis: OpenAlex (O1 broad, O2 IA+educação jurídica, O3 IA generativa + educação jurídica) e DOAJ; varredura de SciELO e Educ@ registrada como bloqueada por proteção anti-bot (HTTP 503) ou indisponível; Scopus, Web of Science e Portal CAPES não estavam acessíveis na etapa de execução (pendência documentada no log §2.5). O recorte principal é 2020–2026, por emenda formal de 18/09/2026; cada busca registrou data, string integral, filtros, quantidade recuperada e arquivo exportado.</w:t>
      </w:r>
    </w:p>
    <w:p>
      <w:pPr>
        <w:pStyle w:val="Heading2"/>
        <w:spacing w:after="120" w:before="240" w:line="240" w:lineRule="auto"/>
        <w:jc w:val="left"/>
      </w:pPr>
      <w:r>
        <w:rPr>
          <w:rFonts w:ascii="Times New Roman" w:hAnsi="Times New Roman"/>
          <w:b/>
          <w:color w:val="000000"/>
          <w:sz w:val="24"/>
        </w:rPr>
        <w:t>3.5 Elegibilidade</w:t>
      </w:r>
    </w:p>
    <w:p>
      <w:pPr>
        <w:spacing w:after="120" w:before="0" w:line="360" w:lineRule="auto"/>
        <w:ind w:firstLine="709"/>
        <w:jc w:val="both"/>
      </w:pPr>
      <w:r>
        <w:rPr>
          <w:rFonts w:ascii="Times New Roman" w:hAnsi="Times New Roman"/>
          <w:b w:val="0"/>
          <w:i w:val="0"/>
          <w:sz w:val="24"/>
        </w:rPr>
        <w:t>Incluir artigos originais, revisões e análises documentais com foco explícito em educação jurídica e IA, publicados no período definido, com texto completo e método identificável. Excluir duplicatas, opiniões sem método, trabalhos cujo foco seja exclusivamente automação judiciária sem dimensão educacional e documentos fora do período do corpus. Literatura normativa e institucional deverá ser distinguida da literatura empírica e não poderá ser contabilizada como estudo pedagógico sem justificativa metodológica.</w:t>
      </w:r>
    </w:p>
    <w:p>
      <w:pPr>
        <w:pStyle w:val="Heading2"/>
        <w:spacing w:after="120" w:before="240" w:line="240" w:lineRule="auto"/>
        <w:jc w:val="left"/>
      </w:pPr>
      <w:r>
        <w:rPr>
          <w:rFonts w:ascii="Times New Roman" w:hAnsi="Times New Roman"/>
          <w:b/>
          <w:color w:val="000000"/>
          <w:sz w:val="24"/>
        </w:rPr>
        <w:t>3.6 Seleção e extração</w:t>
      </w:r>
    </w:p>
    <w:p>
      <w:pPr>
        <w:spacing w:after="120" w:before="0" w:line="360" w:lineRule="auto"/>
        <w:ind w:firstLine="709"/>
        <w:jc w:val="both"/>
      </w:pPr>
      <w:r>
        <w:rPr>
          <w:rFonts w:ascii="Times New Roman" w:hAnsi="Times New Roman"/>
          <w:b w:val="0"/>
          <w:i w:val="0"/>
          <w:sz w:val="24"/>
        </w:rPr>
        <w:t>A triagem foi realizada pelo autor (RH1) com apoio de triagem técnica por IA (RH2-IA), com resolução documentada de divergências (consenso de 18/09/2026). O fluxo registrou identificação, deduplicação, triagem por título/resumo, avaliação de texto completo, motivos de exclusão e conjunto final incluído (21 estudos). A ficha de extração conteve metadados, país/contexto, desenho, amostra ou corpus, método, achados, limitações, financiamento/conflitos, dimensões analíticas e lições transferíveis ao Brasil.</w:t>
      </w:r>
    </w:p>
    <w:p>
      <w:pPr>
        <w:pStyle w:val="Heading2"/>
        <w:spacing w:after="120" w:before="240" w:line="240" w:lineRule="auto"/>
        <w:jc w:val="left"/>
      </w:pPr>
      <w:r>
        <w:rPr>
          <w:rFonts w:ascii="Times New Roman" w:hAnsi="Times New Roman"/>
          <w:b/>
          <w:color w:val="000000"/>
          <w:sz w:val="24"/>
        </w:rPr>
        <w:t>3.7 Síntese</w:t>
      </w:r>
    </w:p>
    <w:p>
      <w:pPr>
        <w:spacing w:after="120" w:before="0" w:line="360" w:lineRule="auto"/>
        <w:ind w:firstLine="709"/>
        <w:jc w:val="both"/>
      </w:pPr>
      <w:r>
        <w:rPr>
          <w:rFonts w:ascii="Times New Roman" w:hAnsi="Times New Roman"/>
          <w:b w:val="0"/>
          <w:i w:val="0"/>
          <w:sz w:val="24"/>
        </w:rPr>
        <w:t>A síntese quantitativa foi descritiva, com denominadores explícitos (n = 21). As frequências por dimensão foram calculadas exclusivamente a partir da matriz validada. A síntese qualitativa organizou convergências, divergências e lacunas, mantendo separados resultados dos estudos, interpretação dos autores desta revisão e proposições normativas.</w:t>
      </w:r>
    </w:p>
    <w:p>
      <w:pPr>
        <w:pStyle w:val="Heading2"/>
        <w:spacing w:after="120" w:before="240" w:line="240" w:lineRule="auto"/>
        <w:jc w:val="left"/>
      </w:pPr>
      <w:r>
        <w:rPr>
          <w:rFonts w:ascii="Times New Roman" w:hAnsi="Times New Roman"/>
          <w:b/>
          <w:color w:val="000000"/>
          <w:sz w:val="24"/>
        </w:rPr>
        <w:t>3.8 Integridade, ética e transparência</w:t>
      </w:r>
    </w:p>
    <w:p>
      <w:pPr>
        <w:spacing w:after="120" w:before="0" w:line="360" w:lineRule="auto"/>
        <w:ind w:firstLine="709"/>
        <w:jc w:val="both"/>
      </w:pPr>
      <w:r>
        <w:rPr>
          <w:rFonts w:ascii="Times New Roman" w:hAnsi="Times New Roman"/>
          <w:b w:val="0"/>
          <w:i w:val="0"/>
          <w:sz w:val="24"/>
        </w:rPr>
        <w:t>Por utilizar literatura e documentos públicos, a revisão não envolveu recrutamento de participantes. A necessidade de apreciação ética foi confirmada conforme as regras institucionais aplicáveis. Financiamento, conflitos, contribuições autorais, disponibilidade de dados e uso de ferramentas de IA foram declarados de forma específica e verdadeira nas declarações finais. Não se adota percentual universal de similaridade como garantia de originalidade.</w:t>
      </w:r>
    </w:p>
    <w:p>
      <w:pPr>
        <w:pStyle w:val="Heading1"/>
        <w:spacing w:after="120" w:before="240" w:line="240" w:lineRule="auto"/>
        <w:jc w:val="left"/>
      </w:pPr>
      <w:r>
        <w:rPr>
          <w:rFonts w:ascii="Times New Roman" w:hAnsi="Times New Roman"/>
          <w:b/>
          <w:color w:val="000000"/>
          <w:sz w:val="24"/>
        </w:rPr>
        <w:t>4 RESULTADOS</w:t>
      </w:r>
    </w:p>
    <w:p>
      <w:pPr>
        <w:spacing w:after="120" w:before="0" w:line="360" w:lineRule="auto"/>
        <w:ind w:firstLine="0"/>
        <w:jc w:val="center"/>
      </w:pPr>
      <w:r>
        <w:t>Esta seção apresenta os resultados da execução real e auditável da revisão de escopo, registrados no log de execução real e na matriz de extração. As contagens derivam exclusivamente das exportações de bases verificadas (OpenAlex, DOAJ) e das rotas de acesso aberto executadas em 17/09/2026; nenhum valor simulado foi utilizado.</w:t>
      </w:r>
    </w:p>
    <w:p>
      <w:pPr>
        <w:spacing w:after="120" w:before="0" w:line="360" w:lineRule="auto"/>
        <w:ind w:firstLine="709"/>
        <w:jc w:val="both"/>
      </w:pPr>
      <w:r/>
    </w:p>
    <w:p>
      <w:pPr>
        <w:pStyle w:val="Heading2"/>
        <w:spacing w:after="120" w:before="240" w:line="240" w:lineRule="auto"/>
        <w:jc w:val="left"/>
      </w:pPr>
      <w:r>
        <w:t>4.1 Fluxograma PRISMA-ScR e caracterização dos estudos incluídos</w:t>
      </w:r>
    </w:p>
    <w:p>
      <w:pPr>
        <w:spacing w:after="120" w:before="0" w:line="360" w:lineRule="auto"/>
        <w:ind w:firstLine="709"/>
        <w:jc w:val="both"/>
      </w:pPr>
      <w:r>
        <w:t>Fluxograma PRISMA-ScR (números rastreáveis):</w:t>
        <w:br/>
        <w:br/>
        <w:t>(1) Registros identificados em bases: OpenAlex O1 broad = 42.671; OpenAlex O2 foco IA+educação jurídica = 25 (após filtro de tópico, exportação oa1.json); OpenAlex O3 IA generativa + educação jurídica = 25 (exportação oa2.json); DOAJ = 33 registros brutos para a combinação de strings, 35 inteiros brutos somando strings (17/09/2026). Google Acadêmico formal e varredura formal de SciELO (bloqueada por proteção anti-bot HTTP 503) e Educ@ permanecem documentadas como pendências de acesso no log §2.5; preprints (SSRN/SciELO Preprints) também pendentes.</w:t>
        <w:br/>
        <w:br/>
        <w:t>(2) Triagem título/resumo: sobre as exportações OpenAlex O2 e O3 (50 registros), aplicados critérios de elegibilidade PICo. Triagem manual registrada no log §2.4: O2 = 21 incluídos/4 excluídos; O3 = 1 incluído (O impacto da IA 2020)/24 excluídos.</w:t>
        <w:br/>
        <w:br/>
        <w:t>(3) Texto completo recuperado: após consenso RH1×RH2-IA (18/09/2026), os estudos A01 (E2 — centralidade educacional secundária), B02 (E4 — introdução editorial sem método próprio), N03 (E4 — sem desenho metodológico delimitado) e N12 (E4 — análise temática informal) foram excluídos com motivo documentado. Corpus final: 21 estudos incluídos (B01, B03, B04, B05, B06, B08, B09, C01, C02, C03, C04, C05, C06, N02, N04, N07, N08, N11, N13, N14, N15). N07, N08, N11 foram recuperados por rotas legítimas (Arkansas Law Review via Wayback; Brill XML via Wayback; T&amp;F). Estudos não recuperáveis por rota legítima: C07 (RBIAD subscription), N06 (T&amp;F), N09 (SAGE), N10 (ResearchGate), N16 (Verlag Österreich) - declarados no fluxograma como não recuperados com motivo (risco de viés de publicação).</w:t>
        <w:br/>
        <w:br/>
        <w:t>(4) Busca de atualização 2026 (emenda temporal 18/09/2026): OpenAlex identificou 3 candidatos — Lorteau &amp; Sarro (The Law Teacher, scoping review concorrente; paywall), Schrepel (Law, Innovation and Technology, experimento de dois anos; paywall) e Fruehwald (SSRN, preprint). Lorteau &amp; Sarro e Schrepel não recuperáveis por rota legítima local (não contam nos denominadores); Fruehwald é preprint (fora do critério de tipo documental).</w:t>
        <w:br/>
        <w:br/>
        <w:t>(5) Estudos incluídos na síntese (n = 21): B01, B03, B04, B05, B06, B08, B09, C01, C02, C03, C04, C05, C06, N02, N04, N07, N08, N11, N13, N14, N15. C07 declarado como não-recuperável por subscription (RBIAD) e excluído com motivo; B07 deduplicado em N02.</w:t>
        <w:br/>
        <w:br/>
        <w:t>Caracterização: 21 estudos incluídos, 2020–2026; origem geográfica: Brasil (7), Internacional (14: Reino Unido, Austrália, África do Sul, Colômbia, Hong Kong, Índia/EAU, Paquistão, direito islâmico comparado, contexto europeu); desenhos predominantes: artigos teóricos/bibliográficos, relatos de experiência e estudos de caso; periódicos e editoras: revistas jurídicas brasileiras (Pensar, Revista de Direito e Novas Tecnologias, IJDL, UFSM, THEMIS, Inclusiones, Redalyc) e internacionais (IJCLEC, Law, Technology and Humans, China Journal, iJAC, The Law Teacher, Legal Education Review).</w:t>
      </w:r>
    </w:p>
    <w:p>
      <w:pPr>
        <w:jc w:val="center"/>
      </w:pPr>
      <w:r>
        <w:drawing>
          <wp:inline xmlns:a="http://schemas.openxmlformats.org/drawingml/2006/main" xmlns:pic="http://schemas.openxmlformats.org/drawingml/2006/picture">
            <wp:extent cx="5166360" cy="6544672"/>
            <wp:docPr id="1" name="Picture 1"/>
            <wp:cNvGraphicFramePr>
              <a:graphicFrameLocks noChangeAspect="1"/>
            </wp:cNvGraphicFramePr>
            <a:graphic>
              <a:graphicData uri="http://schemas.openxmlformats.org/drawingml/2006/picture">
                <pic:pic>
                  <pic:nvPicPr>
                    <pic:cNvPr id="0" name="fluxograma_prisma_R522.png"/>
                    <pic:cNvPicPr/>
                  </pic:nvPicPr>
                  <pic:blipFill>
                    <a:blip r:embed="rId10"/>
                    <a:stretch>
                      <a:fillRect/>
                    </a:stretch>
                  </pic:blipFill>
                  <pic:spPr>
                    <a:xfrm>
                      <a:off x="0" y="0"/>
                      <a:ext cx="5166360" cy="6544672"/>
                    </a:xfrm>
                    <a:prstGeom prst="rect"/>
                  </pic:spPr>
                </pic:pic>
              </a:graphicData>
            </a:graphic>
          </wp:inline>
        </w:drawing>
      </w:r>
    </w:p>
    <w:p>
      <w:pPr>
        <w:jc w:val="center"/>
      </w:pPr>
      <w:r>
        <w:rPr>
          <w:i/>
          <w:sz w:val="18"/>
        </w:rPr>
        <w:t>Figura 1 — Fluxograma PRISMA-ScR (execução real, n = 21). Números rastreáveis no log de execução real.</w:t>
      </w:r>
    </w:p>
    <w:p>
      <w:pPr>
        <w:pStyle w:val="Heading2"/>
        <w:spacing w:after="120" w:before="240" w:line="240" w:lineRule="auto"/>
        <w:jc w:val="left"/>
      </w:pPr>
      <w:r>
        <w:t>4.2 Frequências observadas das dimensões analíticas e dos eixos temáticos</w:t>
      </w:r>
    </w:p>
    <w:p>
      <w:pPr>
        <w:spacing w:after="120" w:before="0" w:line="360" w:lineRule="auto"/>
        <w:ind w:firstLine="709"/>
        <w:jc w:val="both"/>
      </w:pPr>
      <w:r>
        <w:t>As Tabelas 1 e 2 apresentam as frequências observadas das seis dimensões analíticas e dos quatro eixos temáticos, calculadas exclusivamente sobre a matriz de extração validada (matriz de extração; n = 21 estudos incluídos). Numerador e denominador são explícitos em cada célula para permitir auditoria e replicação. Nenhuma célula foi inferida ou preenchida por suposição.</w:t>
        <w:br/>
        <w:br/>
        <w:t>Nota metodológica: D1 (Marcos normativos) e E1 (Fundamentos éticos) alcançam o mesmo valor percentual (95,2%), mas referem-se a conceitos distintos: D1 mede a presença de análise de marcos normativos como dimensão da pergunta de pesquisa; E1 mede a presença de fundamentação ética explícita nos eixos codificados. A coincidência numérica é observada, não decorrente de definição redundante.</w:t>
      </w:r>
    </w:p>
    <w:tbl>
      <w:tblPr>
        <w:tblStyle w:val="TableGrid"/>
        <w:tblW w:type="dxa" w:w="8928"/>
        <w:jc w:val="center"/>
        <w:tblLayout w:type="fixed"/>
        <w:tblLook w:firstColumn="1" w:firstRow="1" w:lastColumn="0" w:lastRow="0" w:noHBand="0" w:noVBand="1" w:val="04A0"/>
        <w:tblInd w:w="0" w:type="dxa"/>
      </w:tblPr>
      <w:tblGrid>
        <w:gridCol w:w="3024"/>
        <w:gridCol w:w="3024"/>
        <w:gridCol w:w="3024"/>
        <w:gridCol w:w="3000"/>
      </w:tblGrid>
      <w:tr>
        <w:tc>
          <w:tcPr>
            <w:tcW w:type="dxa" w:w="2045"/>
            <w:vAlign w:val="center"/>
            <w:tcMar>
              <w:top w:w="25" w:type="dxa"/>
              <w:start w:w="35" w:type="dxa"/>
              <w:bottom w:w="25" w:type="dxa"/>
              <w:end w:w="35" w:type="dxa"/>
            </w:tcMar>
          </w:tcPr>
          <w:p>
            <w:pPr>
              <w:spacing w:before="0" w:after="0"/>
            </w:pPr>
            <w:r>
              <w:rPr>
                <w:rFonts w:ascii="Arial" w:hAnsi="Arial" w:eastAsia="Arial"/>
                <w:b/>
                <w:sz w:val="13"/>
              </w:rPr>
              <w:t>Dimensão</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b/>
                <w:sz w:val="13"/>
              </w:rPr>
              <w:t>n</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b/>
                <w:sz w:val="13"/>
              </w:rPr>
              <w:t>% (de 21)</w:t>
            </w:r>
          </w:p>
        </w:tc>
        <w:tc>
          <w:tcPr>
            <w:tcW w:type="dxa" w:w="5501"/>
            <w:vAlign w:val="center"/>
            <w:tcMar>
              <w:top w:w="25" w:type="dxa"/>
              <w:start w:w="35" w:type="dxa"/>
              <w:bottom w:w="25" w:type="dxa"/>
              <w:end w:w="35" w:type="dxa"/>
            </w:tcMar>
          </w:tcPr>
          <w:p>
            <w:pPr>
              <w:spacing w:before="0" w:after="0"/>
            </w:pPr>
            <w:r>
              <w:rPr>
                <w:rFonts w:ascii="Arial" w:hAnsi="Arial" w:eastAsia="Arial"/>
                <w:b/>
                <w:sz w:val="13"/>
              </w:rPr>
              <w:t>IDs da matriz</w:t>
            </w:r>
          </w:p>
        </w:tc>
      </w:tr>
      <w:tr>
        <w:tc>
          <w:tcPr>
            <w:tcW w:type="dxa" w:w="2045"/>
            <w:vAlign w:val="center"/>
            <w:tcMar>
              <w:top w:w="25" w:type="dxa"/>
              <w:start w:w="35" w:type="dxa"/>
              <w:bottom w:w="25" w:type="dxa"/>
              <w:end w:w="35" w:type="dxa"/>
            </w:tcMar>
          </w:tcPr>
          <w:p>
            <w:pPr>
              <w:spacing w:before="0" w:after="0" w:line="240" w:lineRule="auto"/>
              <w:jc w:val="left"/>
            </w:pPr>
            <w:r>
              <w:rPr>
                <w:rFonts w:ascii="Arial" w:hAnsi="Arial" w:eastAsia="Arial"/>
                <w:sz w:val="14"/>
              </w:rPr>
              <w:t>D1 Marcos normativos</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sz w:val="14"/>
              </w:rPr>
              <w:t>20</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sz w:val="14"/>
              </w:rPr>
              <w:t>95,2%</w:t>
            </w:r>
          </w:p>
        </w:tc>
        <w:tc>
          <w:tcPr>
            <w:tcW w:type="dxa" w:w="5501"/>
            <w:vAlign w:val="center"/>
            <w:tcMar>
              <w:top w:w="25" w:type="dxa"/>
              <w:start w:w="35" w:type="dxa"/>
              <w:bottom w:w="25" w:type="dxa"/>
              <w:end w:w="35" w:type="dxa"/>
            </w:tcMar>
          </w:tcPr>
          <w:p>
            <w:pPr>
              <w:spacing w:before="0" w:after="0" w:line="240" w:lineRule="auto"/>
              <w:jc w:val="left"/>
            </w:pPr>
            <w:r>
              <w:rPr>
                <w:rFonts w:ascii="Arial" w:hAnsi="Arial" w:eastAsia="Arial"/>
                <w:sz w:val="12"/>
              </w:rPr>
              <w:t>B01, B03, B04, B05, B06, B08, B09, C01, C02, C03, C04, C05, C06, N02, N04, N13, N15, N07, N08, N11</w:t>
            </w:r>
          </w:p>
        </w:tc>
      </w:tr>
      <w:tr>
        <w:tc>
          <w:tcPr>
            <w:tcW w:type="dxa" w:w="2045"/>
            <w:vAlign w:val="center"/>
            <w:tcMar>
              <w:top w:w="25" w:type="dxa"/>
              <w:start w:w="35" w:type="dxa"/>
              <w:bottom w:w="25" w:type="dxa"/>
              <w:end w:w="35" w:type="dxa"/>
            </w:tcMar>
          </w:tcPr>
          <w:p>
            <w:pPr>
              <w:spacing w:before="0" w:after="0" w:line="240" w:lineRule="auto"/>
              <w:jc w:val="left"/>
            </w:pPr>
            <w:r>
              <w:rPr>
                <w:rFonts w:ascii="Arial" w:hAnsi="Arial" w:eastAsia="Arial"/>
                <w:sz w:val="14"/>
              </w:rPr>
              <w:t>D2 Comparação internacional</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sz w:val="14"/>
              </w:rPr>
              <w:t>11</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sz w:val="14"/>
              </w:rPr>
              <w:t>52,4%</w:t>
            </w:r>
          </w:p>
        </w:tc>
        <w:tc>
          <w:tcPr>
            <w:tcW w:type="dxa" w:w="5501"/>
            <w:vAlign w:val="center"/>
            <w:tcMar>
              <w:top w:w="25" w:type="dxa"/>
              <w:start w:w="35" w:type="dxa"/>
              <w:bottom w:w="25" w:type="dxa"/>
              <w:end w:w="35" w:type="dxa"/>
            </w:tcMar>
          </w:tcPr>
          <w:p>
            <w:pPr>
              <w:spacing w:before="0" w:after="0" w:line="240" w:lineRule="auto"/>
              <w:jc w:val="left"/>
            </w:pPr>
            <w:r>
              <w:rPr>
                <w:rFonts w:ascii="Arial" w:hAnsi="Arial" w:eastAsia="Arial"/>
                <w:sz w:val="12"/>
              </w:rPr>
              <w:t>B03, B04, B06, B09, C04, C05, N04, N15, N07, N08, N11</w:t>
            </w:r>
          </w:p>
        </w:tc>
      </w:tr>
      <w:tr>
        <w:tc>
          <w:tcPr>
            <w:tcW w:type="dxa" w:w="2045"/>
            <w:vAlign w:val="center"/>
            <w:tcMar>
              <w:top w:w="25" w:type="dxa"/>
              <w:start w:w="35" w:type="dxa"/>
              <w:bottom w:w="25" w:type="dxa"/>
              <w:end w:w="35" w:type="dxa"/>
            </w:tcMar>
          </w:tcPr>
          <w:p>
            <w:pPr>
              <w:spacing w:before="0" w:after="0" w:line="240" w:lineRule="auto"/>
              <w:jc w:val="left"/>
            </w:pPr>
            <w:r>
              <w:rPr>
                <w:rFonts w:ascii="Arial" w:hAnsi="Arial" w:eastAsia="Arial"/>
                <w:sz w:val="14"/>
              </w:rPr>
              <w:t>D3 Letramento/competências</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sz w:val="14"/>
              </w:rPr>
              <w:t>11</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sz w:val="14"/>
              </w:rPr>
              <w:t>52,4%</w:t>
            </w:r>
          </w:p>
        </w:tc>
        <w:tc>
          <w:tcPr>
            <w:tcW w:type="dxa" w:w="5501"/>
            <w:vAlign w:val="center"/>
            <w:tcMar>
              <w:top w:w="25" w:type="dxa"/>
              <w:start w:w="35" w:type="dxa"/>
              <w:bottom w:w="25" w:type="dxa"/>
              <w:end w:w="35" w:type="dxa"/>
            </w:tcMar>
          </w:tcPr>
          <w:p>
            <w:pPr>
              <w:spacing w:before="0" w:after="0" w:line="240" w:lineRule="auto"/>
              <w:jc w:val="left"/>
            </w:pPr>
            <w:r>
              <w:rPr>
                <w:rFonts w:ascii="Arial" w:hAnsi="Arial" w:eastAsia="Arial"/>
                <w:sz w:val="12"/>
              </w:rPr>
              <w:t>B01, B03, B04, B05, B06, B09, N13, N14, N07, N08, N11</w:t>
            </w:r>
          </w:p>
        </w:tc>
      </w:tr>
      <w:tr>
        <w:tc>
          <w:tcPr>
            <w:tcW w:type="dxa" w:w="2045"/>
            <w:vAlign w:val="center"/>
            <w:tcMar>
              <w:top w:w="25" w:type="dxa"/>
              <w:start w:w="35" w:type="dxa"/>
              <w:bottom w:w="25" w:type="dxa"/>
              <w:end w:w="35" w:type="dxa"/>
            </w:tcMar>
          </w:tcPr>
          <w:p>
            <w:pPr>
              <w:spacing w:before="0" w:after="0" w:line="240" w:lineRule="auto"/>
              <w:jc w:val="left"/>
            </w:pPr>
            <w:r>
              <w:rPr>
                <w:rFonts w:ascii="Arial" w:hAnsi="Arial" w:eastAsia="Arial"/>
                <w:sz w:val="14"/>
              </w:rPr>
              <w:t>D4 Ética e responsabilidade</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sz w:val="14"/>
              </w:rPr>
              <w:t>16</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sz w:val="14"/>
              </w:rPr>
              <w:t>76,2%</w:t>
            </w:r>
          </w:p>
        </w:tc>
        <w:tc>
          <w:tcPr>
            <w:tcW w:type="dxa" w:w="5501"/>
            <w:vAlign w:val="center"/>
            <w:tcMar>
              <w:top w:w="25" w:type="dxa"/>
              <w:start w:w="35" w:type="dxa"/>
              <w:bottom w:w="25" w:type="dxa"/>
              <w:end w:w="35" w:type="dxa"/>
            </w:tcMar>
          </w:tcPr>
          <w:p>
            <w:pPr>
              <w:spacing w:before="0" w:after="0" w:line="240" w:lineRule="auto"/>
              <w:jc w:val="left"/>
            </w:pPr>
            <w:r>
              <w:rPr>
                <w:rFonts w:ascii="Arial" w:hAnsi="Arial" w:eastAsia="Arial"/>
                <w:sz w:val="12"/>
              </w:rPr>
              <w:t>B04, B08, B09, C01, C02, C03, C04, C05, C06, N02, N04, N14, N15, N07, N08, N11</w:t>
            </w:r>
          </w:p>
        </w:tc>
      </w:tr>
      <w:tr>
        <w:tc>
          <w:tcPr>
            <w:tcW w:type="dxa" w:w="2045"/>
            <w:vAlign w:val="center"/>
            <w:tcMar>
              <w:top w:w="25" w:type="dxa"/>
              <w:start w:w="35" w:type="dxa"/>
              <w:bottom w:w="25" w:type="dxa"/>
              <w:end w:w="35" w:type="dxa"/>
            </w:tcMar>
          </w:tcPr>
          <w:p>
            <w:pPr>
              <w:spacing w:before="0" w:after="0" w:line="240" w:lineRule="auto"/>
              <w:jc w:val="left"/>
            </w:pPr>
            <w:r>
              <w:rPr>
                <w:rFonts w:ascii="Arial" w:hAnsi="Arial" w:eastAsia="Arial"/>
                <w:sz w:val="14"/>
              </w:rPr>
              <w:t>D5 Abordagens pedagógicas (IA como método)</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sz w:val="14"/>
              </w:rPr>
              <w:t>7</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sz w:val="14"/>
              </w:rPr>
              <w:t>33,3%</w:t>
            </w:r>
          </w:p>
        </w:tc>
        <w:tc>
          <w:tcPr>
            <w:tcW w:type="dxa" w:w="5501"/>
            <w:vAlign w:val="center"/>
            <w:tcMar>
              <w:top w:w="25" w:type="dxa"/>
              <w:start w:w="35" w:type="dxa"/>
              <w:bottom w:w="25" w:type="dxa"/>
              <w:end w:w="35" w:type="dxa"/>
            </w:tcMar>
          </w:tcPr>
          <w:p>
            <w:pPr>
              <w:spacing w:before="0" w:after="0" w:line="240" w:lineRule="auto"/>
              <w:jc w:val="left"/>
            </w:pPr>
            <w:r>
              <w:rPr>
                <w:rFonts w:ascii="Arial" w:hAnsi="Arial" w:eastAsia="Arial"/>
                <w:sz w:val="12"/>
              </w:rPr>
              <w:t>B04, B08, C03, N02, N07, N08, N11</w:t>
            </w:r>
          </w:p>
        </w:tc>
      </w:tr>
      <w:tr>
        <w:tc>
          <w:tcPr>
            <w:tcW w:type="dxa" w:w="2045"/>
            <w:vAlign w:val="center"/>
            <w:tcMar>
              <w:top w:w="25" w:type="dxa"/>
              <w:start w:w="35" w:type="dxa"/>
              <w:bottom w:w="25" w:type="dxa"/>
              <w:end w:w="35" w:type="dxa"/>
            </w:tcMar>
          </w:tcPr>
          <w:p>
            <w:pPr>
              <w:spacing w:before="0" w:after="0" w:line="240" w:lineRule="auto"/>
              <w:jc w:val="left"/>
            </w:pPr>
            <w:r>
              <w:rPr>
                <w:rFonts w:ascii="Arial" w:hAnsi="Arial" w:eastAsia="Arial"/>
                <w:sz w:val="14"/>
              </w:rPr>
              <w:t>D6 Equidade/Acesso</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sz w:val="14"/>
              </w:rPr>
              <w:t>8</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sz w:val="14"/>
              </w:rPr>
              <w:t>38,1%</w:t>
            </w:r>
          </w:p>
        </w:tc>
        <w:tc>
          <w:tcPr>
            <w:tcW w:type="dxa" w:w="5501"/>
            <w:vAlign w:val="center"/>
            <w:tcMar>
              <w:top w:w="25" w:type="dxa"/>
              <w:start w:w="35" w:type="dxa"/>
              <w:bottom w:w="25" w:type="dxa"/>
              <w:end w:w="35" w:type="dxa"/>
            </w:tcMar>
          </w:tcPr>
          <w:p>
            <w:pPr>
              <w:spacing w:before="0" w:after="0" w:line="240" w:lineRule="auto"/>
              <w:jc w:val="left"/>
            </w:pPr>
            <w:r>
              <w:rPr>
                <w:rFonts w:ascii="Arial" w:hAnsi="Arial" w:eastAsia="Arial"/>
                <w:sz w:val="12"/>
              </w:rPr>
              <w:t>B01, B04, B09, C04, C05, N07, N08, N11</w:t>
            </w:r>
          </w:p>
        </w:tc>
      </w:tr>
      <w:tr>
        <w:tc>
          <w:tcPr>
            <w:tcW w:type="dxa" w:w="2045"/>
            <w:vAlign w:val="center"/>
            <w:tcMar>
              <w:top w:w="25" w:type="dxa"/>
              <w:start w:w="35" w:type="dxa"/>
              <w:bottom w:w="25" w:type="dxa"/>
              <w:end w:w="35" w:type="dxa"/>
            </w:tcMar>
          </w:tcPr>
          <w:p>
            <w:pPr>
              <w:spacing w:before="0" w:after="0" w:line="240" w:lineRule="auto"/>
              <w:jc w:val="left"/>
            </w:pPr>
            <w:r>
              <w:rPr>
                <w:rFonts w:ascii="Arial" w:hAnsi="Arial" w:eastAsia="Arial"/>
                <w:sz w:val="14"/>
              </w:rPr>
              <w:t>Total de estudos únicos incluídos</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sz w:val="14"/>
              </w:rPr>
              <w:t>21</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sz w:val="14"/>
              </w:rPr>
              <w:t>100,0%</w:t>
            </w:r>
          </w:p>
        </w:tc>
        <w:tc>
          <w:tcPr>
            <w:tcW w:type="dxa" w:w="5501"/>
            <w:vAlign w:val="center"/>
            <w:tcMar>
              <w:top w:w="25" w:type="dxa"/>
              <w:start w:w="35" w:type="dxa"/>
              <w:bottom w:w="25" w:type="dxa"/>
              <w:end w:w="35" w:type="dxa"/>
            </w:tcMar>
          </w:tcPr>
          <w:p>
            <w:pPr>
              <w:spacing w:before="0" w:after="0" w:line="240" w:lineRule="auto"/>
              <w:jc w:val="left"/>
            </w:pPr>
            <w:r>
              <w:rPr>
                <w:rFonts w:ascii="Arial" w:hAnsi="Arial" w:eastAsia="Arial"/>
                <w:sz w:val="12"/>
              </w:rPr>
              <w:t>—</w:t>
            </w:r>
          </w:p>
        </w:tc>
      </w:tr>
    </w:tbl>
    <w:tbl>
      <w:tblPr>
        <w:tblStyle w:val="TableGrid"/>
        <w:tblW w:type="dxa" w:w="8928"/>
        <w:jc w:val="center"/>
        <w:tblLayout w:type="fixed"/>
        <w:tblLook w:firstColumn="1" w:firstRow="1" w:lastColumn="0" w:lastRow="0" w:noHBand="0" w:noVBand="1" w:val="04A0"/>
        <w:tblInd w:w="0" w:type="dxa"/>
      </w:tblPr>
      <w:tblGrid>
        <w:gridCol w:w="3024"/>
        <w:gridCol w:w="3024"/>
        <w:gridCol w:w="3024"/>
        <w:gridCol w:w="3000"/>
      </w:tblGrid>
      <w:tr>
        <w:tc>
          <w:tcPr>
            <w:tcW w:type="dxa" w:w="2045"/>
            <w:vAlign w:val="center"/>
            <w:tcMar>
              <w:top w:w="25" w:type="dxa"/>
              <w:start w:w="35" w:type="dxa"/>
              <w:bottom w:w="25" w:type="dxa"/>
              <w:end w:w="35" w:type="dxa"/>
            </w:tcMar>
          </w:tcPr>
          <w:p>
            <w:pPr>
              <w:spacing w:before="0" w:after="0"/>
            </w:pPr>
            <w:r>
              <w:rPr>
                <w:rFonts w:ascii="Arial" w:hAnsi="Arial" w:eastAsia="Arial"/>
                <w:b/>
                <w:sz w:val="13"/>
              </w:rPr>
              <w:t>Eixo</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b/>
                <w:sz w:val="13"/>
              </w:rPr>
              <w:t>n</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b/>
                <w:sz w:val="13"/>
              </w:rPr>
              <w:t>% (de 21)</w:t>
            </w:r>
          </w:p>
        </w:tc>
        <w:tc>
          <w:tcPr>
            <w:tcW w:type="dxa" w:w="5501"/>
            <w:vAlign w:val="center"/>
            <w:tcMar>
              <w:top w:w="25" w:type="dxa"/>
              <w:start w:w="35" w:type="dxa"/>
              <w:bottom w:w="25" w:type="dxa"/>
              <w:end w:w="35" w:type="dxa"/>
            </w:tcMar>
          </w:tcPr>
          <w:p>
            <w:pPr>
              <w:spacing w:before="0" w:after="0"/>
            </w:pPr>
            <w:r>
              <w:rPr>
                <w:rFonts w:ascii="Arial" w:hAnsi="Arial" w:eastAsia="Arial"/>
                <w:b/>
                <w:sz w:val="13"/>
              </w:rPr>
              <w:t>IDs da matriz</w:t>
            </w:r>
          </w:p>
        </w:tc>
      </w:tr>
      <w:tr>
        <w:tc>
          <w:tcPr>
            <w:tcW w:type="dxa" w:w="2045"/>
            <w:vAlign w:val="center"/>
            <w:tcMar>
              <w:top w:w="25" w:type="dxa"/>
              <w:start w:w="35" w:type="dxa"/>
              <w:bottom w:w="25" w:type="dxa"/>
              <w:end w:w="35" w:type="dxa"/>
            </w:tcMar>
          </w:tcPr>
          <w:p>
            <w:pPr>
              <w:spacing w:before="0" w:after="0" w:line="240" w:lineRule="auto"/>
              <w:jc w:val="left"/>
            </w:pPr>
            <w:r>
              <w:rPr>
                <w:rFonts w:ascii="Arial" w:hAnsi="Arial" w:eastAsia="Arial"/>
                <w:sz w:val="14"/>
              </w:rPr>
              <w:t>E1 Fundamentos éticos</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sz w:val="14"/>
              </w:rPr>
              <w:t>20</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sz w:val="14"/>
              </w:rPr>
              <w:t>95,2%</w:t>
            </w:r>
          </w:p>
        </w:tc>
        <w:tc>
          <w:tcPr>
            <w:tcW w:type="dxa" w:w="5501"/>
            <w:vAlign w:val="center"/>
            <w:tcMar>
              <w:top w:w="25" w:type="dxa"/>
              <w:start w:w="35" w:type="dxa"/>
              <w:bottom w:w="25" w:type="dxa"/>
              <w:end w:w="35" w:type="dxa"/>
            </w:tcMar>
          </w:tcPr>
          <w:p>
            <w:pPr>
              <w:spacing w:before="0" w:after="0" w:line="240" w:lineRule="auto"/>
              <w:jc w:val="left"/>
            </w:pPr>
            <w:r>
              <w:rPr>
                <w:rFonts w:ascii="Arial" w:hAnsi="Arial" w:eastAsia="Arial"/>
                <w:sz w:val="12"/>
              </w:rPr>
              <w:t>B01, B03, B04, B05, B06, B08, B09, C01, C02, C03, C04, C05, C06, N02, N04, N14, N15, N07, N08, N11</w:t>
            </w:r>
          </w:p>
        </w:tc>
      </w:tr>
      <w:tr>
        <w:tc>
          <w:tcPr>
            <w:tcW w:type="dxa" w:w="2045"/>
            <w:vAlign w:val="center"/>
            <w:tcMar>
              <w:top w:w="25" w:type="dxa"/>
              <w:start w:w="35" w:type="dxa"/>
              <w:bottom w:w="25" w:type="dxa"/>
              <w:end w:w="35" w:type="dxa"/>
            </w:tcMar>
          </w:tcPr>
          <w:p>
            <w:pPr>
              <w:spacing w:before="0" w:after="0" w:line="240" w:lineRule="auto"/>
              <w:jc w:val="left"/>
            </w:pPr>
            <w:r>
              <w:rPr>
                <w:rFonts w:ascii="Arial" w:hAnsi="Arial" w:eastAsia="Arial"/>
                <w:sz w:val="14"/>
              </w:rPr>
              <w:t>E2 Transparência/explicabilidade</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sz w:val="14"/>
              </w:rPr>
              <w:t>15</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sz w:val="14"/>
              </w:rPr>
              <w:t>71,4%</w:t>
            </w:r>
          </w:p>
        </w:tc>
        <w:tc>
          <w:tcPr>
            <w:tcW w:type="dxa" w:w="5501"/>
            <w:vAlign w:val="center"/>
            <w:tcMar>
              <w:top w:w="25" w:type="dxa"/>
              <w:start w:w="35" w:type="dxa"/>
              <w:bottom w:w="25" w:type="dxa"/>
              <w:end w:w="35" w:type="dxa"/>
            </w:tcMar>
          </w:tcPr>
          <w:p>
            <w:pPr>
              <w:spacing w:before="0" w:after="0" w:line="240" w:lineRule="auto"/>
              <w:jc w:val="left"/>
            </w:pPr>
            <w:r>
              <w:rPr>
                <w:rFonts w:ascii="Arial" w:hAnsi="Arial" w:eastAsia="Arial"/>
                <w:sz w:val="12"/>
              </w:rPr>
              <w:t>B01, B04, B05, B06, B09, C01, C03, C05, N02, N04, N13, N15, N07, N08, N11</w:t>
            </w:r>
          </w:p>
        </w:tc>
      </w:tr>
      <w:tr>
        <w:tc>
          <w:tcPr>
            <w:tcW w:type="dxa" w:w="2045"/>
            <w:vAlign w:val="center"/>
            <w:tcMar>
              <w:top w:w="25" w:type="dxa"/>
              <w:start w:w="35" w:type="dxa"/>
              <w:bottom w:w="25" w:type="dxa"/>
              <w:end w:w="35" w:type="dxa"/>
            </w:tcMar>
          </w:tcPr>
          <w:p>
            <w:pPr>
              <w:spacing w:before="0" w:after="0" w:line="240" w:lineRule="auto"/>
              <w:jc w:val="left"/>
            </w:pPr>
            <w:r>
              <w:rPr>
                <w:rFonts w:ascii="Arial" w:hAnsi="Arial" w:eastAsia="Arial"/>
                <w:sz w:val="14"/>
              </w:rPr>
              <w:t>E3 Proteção de dados/privacidade</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sz w:val="14"/>
              </w:rPr>
              <w:t>12</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sz w:val="14"/>
              </w:rPr>
              <w:t>57,1%</w:t>
            </w:r>
          </w:p>
        </w:tc>
        <w:tc>
          <w:tcPr>
            <w:tcW w:type="dxa" w:w="5501"/>
            <w:vAlign w:val="center"/>
            <w:tcMar>
              <w:top w:w="25" w:type="dxa"/>
              <w:start w:w="35" w:type="dxa"/>
              <w:bottom w:w="25" w:type="dxa"/>
              <w:end w:w="35" w:type="dxa"/>
            </w:tcMar>
          </w:tcPr>
          <w:p>
            <w:pPr>
              <w:spacing w:before="0" w:after="0" w:line="240" w:lineRule="auto"/>
              <w:jc w:val="left"/>
            </w:pPr>
            <w:r>
              <w:rPr>
                <w:rFonts w:ascii="Arial" w:hAnsi="Arial" w:eastAsia="Arial"/>
                <w:sz w:val="12"/>
              </w:rPr>
              <w:t>B03, B04, B08, B09, C01, C03, N02, N04, N13, N15, N07, N11</w:t>
            </w:r>
          </w:p>
        </w:tc>
      </w:tr>
      <w:tr>
        <w:tc>
          <w:tcPr>
            <w:tcW w:type="dxa" w:w="2045"/>
            <w:vAlign w:val="center"/>
            <w:tcMar>
              <w:top w:w="25" w:type="dxa"/>
              <w:start w:w="35" w:type="dxa"/>
              <w:bottom w:w="25" w:type="dxa"/>
              <w:end w:w="35" w:type="dxa"/>
            </w:tcMar>
          </w:tcPr>
          <w:p>
            <w:pPr>
              <w:spacing w:before="0" w:after="0" w:line="240" w:lineRule="auto"/>
              <w:jc w:val="left"/>
            </w:pPr>
            <w:r>
              <w:rPr>
                <w:rFonts w:ascii="Arial" w:hAnsi="Arial" w:eastAsia="Arial"/>
                <w:sz w:val="14"/>
              </w:rPr>
              <w:t>E4 Competências humanísticas</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sz w:val="14"/>
              </w:rPr>
              <w:t>18</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sz w:val="14"/>
              </w:rPr>
              <w:t>85,7%</w:t>
            </w:r>
          </w:p>
        </w:tc>
        <w:tc>
          <w:tcPr>
            <w:tcW w:type="dxa" w:w="5501"/>
            <w:vAlign w:val="center"/>
            <w:tcMar>
              <w:top w:w="25" w:type="dxa"/>
              <w:start w:w="35" w:type="dxa"/>
              <w:bottom w:w="25" w:type="dxa"/>
              <w:end w:w="35" w:type="dxa"/>
            </w:tcMar>
          </w:tcPr>
          <w:p>
            <w:pPr>
              <w:spacing w:before="0" w:after="0" w:line="240" w:lineRule="auto"/>
              <w:jc w:val="left"/>
            </w:pPr>
            <w:r>
              <w:rPr>
                <w:rFonts w:ascii="Arial" w:hAnsi="Arial" w:eastAsia="Arial"/>
                <w:sz w:val="12"/>
              </w:rPr>
              <w:t>B01, B03, B04, B05, B08, B09, C01, C02, C03, C04, C05, C06, N04, N14, N15, N07, N08, N11</w:t>
            </w:r>
          </w:p>
        </w:tc>
      </w:tr>
      <w:tr>
        <w:tc>
          <w:tcPr>
            <w:tcW w:type="dxa" w:w="2045"/>
            <w:vAlign w:val="center"/>
            <w:tcMar>
              <w:top w:w="25" w:type="dxa"/>
              <w:start w:w="35" w:type="dxa"/>
              <w:bottom w:w="25" w:type="dxa"/>
              <w:end w:w="35" w:type="dxa"/>
            </w:tcMar>
          </w:tcPr>
          <w:p>
            <w:pPr>
              <w:spacing w:before="0" w:after="0" w:line="240" w:lineRule="auto"/>
              <w:jc w:val="left"/>
            </w:pPr>
            <w:r>
              <w:rPr>
                <w:rFonts w:ascii="Arial" w:hAnsi="Arial" w:eastAsia="Arial"/>
                <w:sz w:val="14"/>
              </w:rPr>
              <w:t>Total de estudos únicos incluídos</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sz w:val="14"/>
              </w:rPr>
              <w:t>21</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sz w:val="14"/>
              </w:rPr>
              <w:t>100,0%</w:t>
            </w:r>
          </w:p>
        </w:tc>
        <w:tc>
          <w:tcPr>
            <w:tcW w:type="dxa" w:w="5501"/>
            <w:vAlign w:val="center"/>
            <w:tcMar>
              <w:top w:w="25" w:type="dxa"/>
              <w:start w:w="35" w:type="dxa"/>
              <w:bottom w:w="25" w:type="dxa"/>
              <w:end w:w="35" w:type="dxa"/>
            </w:tcMar>
          </w:tcPr>
          <w:p>
            <w:pPr>
              <w:spacing w:before="0" w:after="0" w:line="240" w:lineRule="auto"/>
              <w:jc w:val="left"/>
            </w:pPr>
            <w:r>
              <w:rPr>
                <w:rFonts w:ascii="Arial" w:hAnsi="Arial" w:eastAsia="Arial"/>
                <w:sz w:val="12"/>
              </w:rPr>
              <w:t>—</w:t>
            </w:r>
          </w:p>
        </w:tc>
      </w:tr>
    </w:tbl>
    <w:p>
      <w:r>
        <w:t>Nota de falsificabilidade e limites inferenciais: o desenho da revisão é descritivo (PRISMA-ScR), sem grupo de controle, manipulação experimental ou inferência causal; portanto, as frequências observadas não autorizam afirmações de eficácia. As contagens são refutáveis: (i) por reanálise independente da matriz de extração (matriz de extração, disponível com SHA-256); (ii) pela inclusão das fontes pendentes (SciELO bloqueada por anti-bot, preprints SSRN/SciELO, Educ@, Google Acadêmico formal), que podem alterar numeradores; (iii) pela inclusão dos candidatos 2026 (Lorteau &amp; Sarro; Schrepel) caso haja acesso legítimo, que podem alterar numeradores; (iv) por modificação dos critérios de elegibilidade PICo. A ausência de medidas empíricas de equidade algorítmica (D6 = 38,1%) é reportada como lacuna de evidência, não como prova de inexistência do fenômeno.</w:t>
      </w:r>
    </w:p>
    <w:p>
      <w:pPr>
        <w:pStyle w:val="Heading2"/>
      </w:pPr>
      <w:r>
        <w:t>4.3 Síntese temática</w:t>
      </w:r>
    </w:p>
    <w:p>
      <w:r>
        <w:t>Convergências, divergências e lacunas emergentes da síntese qualitativa:</w:t>
        <w:br/>
        <w:br/>
        <w:t>Convergência 1 - prevalência normativa (D1 = 95,2%): a literatura do período concentra-se em análise de marcos regulatórios e princípios (C01; C03), com destaque para regulação ética da IAGen no ensino jurídico, porém com baixa descida ao nível da prática docente cotidiana (D5 = 33,3%).</w:t>
        <w:br/>
        <w:br/>
        <w:t>Convergência 2 - risco ético e responsabilidade profissional (D4 = 76,2%; E1 = 95,2%): achados recorrentes sobre plágio automatizado, alucinações, responsabilidade profissional (N14; N04; B01; B03).</w:t>
        <w:br/>
        <w:br/>
        <w:t>Convergência 3 - formação docente e letramento em IA (D3 = 52,4%): recomendações consistentes para letramento em IA no currículo e formação docente (C04; C05; C03), embora ainda minoritárias (11/21).</w:t>
        <w:br/>
        <w:br/>
        <w:t>Divergência 1 - papel da IAGen: estudos pró-adoção com supervisão (C04; N13; N02) vs. estudos centrados em riscos e limites (N07 - caso Mata v. Avianca; N04 - responsabilidade profissional).</w:t>
        <w:br/>
        <w:br/>
        <w:t>Divergência 2 - método: teórico-bibliográfico (C06; C01) vs. relatos empíricos (C04 - 46 feedbacks de 98 alunos; N13; B08 - 24 exames simulados) vs. quase-experimento (N11).</w:t>
        <w:br/>
        <w:br/>
        <w:t>Lacuna empírica (GAP3/GAP4): apenas 8/21 (38,1%) abordam equidade e acesso à justiça como dimensão central; a revisão concorrente de Lorteau &amp; Sarro (2026), que sintetiza 82 obras de 26 jurisdições, reforça a lacuna de evidência empírica sobre equidade no campo.</w:t>
      </w:r>
    </w:p>
    <w:p>
      <w:pPr>
        <w:spacing w:after="40"/>
      </w:pPr>
      <w:r>
        <w:rPr>
          <w:sz w:val="24"/>
          <w:szCs w:val="24"/>
        </w:rPr>
        <w:t>A ampliação do corpus para 21 estudos incorporou evidências internacionais que refinam o mapa de convergências. No plano empírico, o quase-experimento australiano de Alimardani (2025, N11) comparou o desempenho de estudantes de Direito e de GPT-4 em prova de direito penal: os papéis gerados pela IA superaram a média discente em questões abertas e de redação, mas ficaram abaixo da média nas questões que exigiam análise jurídica e crítica detalhada. O debate sobre "muleta cognitiva" (access to AI might discourage effort) e o declínio de aproximadamente 20 pontos percentuais entre os melhores estudantes expostos à IA foram originalmente documentados por Choi &amp; Schwarcz (apud N11), sendo recuperados pelo estudo australiano como contexto. Esse achado empírico qualifica a convergência norma-prática: a assimetria não é apenas de escassez de relatos, mas de evidência parcial sobre os efeitos da ferramenta.</w:t>
      </w:r>
    </w:p>
    <w:p>
      <w:pPr>
        <w:spacing w:after="40"/>
      </w:pPr>
      <w:r>
        <w:rPr>
          <w:sz w:val="24"/>
          <w:szCs w:val="24"/>
        </w:rPr>
        <w:t>No plano dos marcos normativos e da responsabilidade profissional, o comentário de Curlin IV (2025, N07), ancorado no caso norte-americano Mata v. Avianca (S.D.N.Y. 2023), documenta a sanção imposta a advogados que submeteram petição com jurisprudência fictícia gerada por ChatGPT (alucinação), reforçando a exigência de diligência, competência e supervisão humana no uso de IAGen na prática jurídica. O estudo também discute responsabilização, confidencialidade e privacidade do cliente como princípios tensionados pela adoção da tecnologia — evidência de que D3 (Responsabilidade) e E3 (Dados/Privacidade) se consolidam como eixos operacionais, não apenas teóricos.</w:t>
      </w:r>
    </w:p>
    <w:p>
      <w:pPr>
        <w:spacing w:after="40"/>
      </w:pPr>
      <w:r>
        <w:rPr>
          <w:sz w:val="24"/>
          <w:szCs w:val="24"/>
        </w:rPr>
        <w:t>A escala GAIES proposta pelo estudo de direito sucessório islâmico (N08) oferece instrumento metodológico para avaliar sistematicamente saídas de modelos generativos (ChatGPT-4, DeepSeek, Gemini e Co-Pilot) quanto a precisão, transparência, responsabilização e necessidade de supervisão humana, com ChatGPT-4 superando consistentemente os demais, porém ainda com referências fabricadas e interpretações equivocadas. O estudo dialoga com o EU AI Act e com o accountability framework do GAO norte-americano, oferecendo critérios avaliáveis para adoção institucional.</w:t>
      </w:r>
    </w:p>
    <w:p>
      <w:pPr>
        <w:pStyle w:val="Heading1"/>
        <w:spacing w:after="120" w:before="240" w:line="240" w:lineRule="auto"/>
        <w:jc w:val="left"/>
      </w:pPr>
      <w:r>
        <w:t>5 DISCUSSÃO</w:t>
      </w:r>
    </w:p>
    <w:p>
      <w:pPr>
        <w:spacing w:after="40"/>
      </w:pPr>
      <w:r>
        <w:rPr>
          <w:sz w:val="24"/>
          <w:szCs w:val="24"/>
        </w:rPr>
        <w:t>A evidência empírica disponível relativiza tanto o entusiasmo quanto a rejeição linear da IAGen na sala de aula de Direito. O quase-experimento australiano (N11) indica que a IA pode superar estudantes em tarefas de produção textual, mas não em análise jurídica detalhada, o que sugere desenho avaliativo centrado em raciocínio, argumentação e verificação de fontes como estratégia de mitigação (lacuna GAP4). A escala GAIES (N08), por sua vez, oferece protocolo replicável para que instituições avaliem, antes de adotar, a confiabilidade das ferramentas em contextos específicos — alternativa concreta à proibição genérica e à adoção acrítica.</w:t>
      </w:r>
    </w:p>
    <w:p>
      <w:pPr>
        <w:spacing w:after="120" w:before="0" w:line="360" w:lineRule="auto"/>
        <w:ind w:firstLine="709"/>
        <w:jc w:val="both"/>
      </w:pPr>
      <w:r>
        <w:t>Quatro proposições orientam a interpretação dos resultados observados:</w:t>
        <w:br/>
        <w:br/>
        <w:t>(1) A literatura do período privilegia análise normativa (D1 = 95,2%) sobre avaliação pedagógica (D5 = 33,3%), configurando assimetria norma-prática: há abundância de marcos regulatórios e princípios, mas escassez de evidências sobre a incorporação da IAGen nas salas de aula de Direito.</w:t>
        <w:br/>
        <w:br/>
        <w:t>(2) Equidade e acesso à justiça permanecem sub-representados (D6 = 38,1%), mesmo quando a revisão de escopo concorrente de Lorteau &amp; Sarro (2026) — com 82 obras de 26 jurisdições — aponta o mesmo padrão temático, o que sugere lacuna estrutural e não apenas brasileira.</w:t>
        <w:br/>
        <w:br/>
        <w:t>(3) A formação docente e o letramento em IA (D3 = 52,4%) figuram como recomendação qualificada (C03; C04; C05), porém ainda minoritária em termos de estudos dedicados.</w:t>
        <w:br/>
        <w:br/>
        <w:t>(4) A dimensão ética é a mais consolidada (E1 = 95,2%; D4 = 76,2%), mas tende a se concentrar em riscos (plágio, alucinação, responsabilidade) em vez de propor desenhos pedagógicos mediados (exceções: C04 GPTs personalizados; N13 caso institucional).</w:t>
      </w:r>
    </w:p>
    <w:p>
      <w:pPr>
        <w:spacing w:after="40"/>
      </w:pPr>
      <w:r>
        <w:rPr>
          <w:sz w:val="24"/>
          <w:szCs w:val="24"/>
        </w:rPr>
        <w:t>A expansão internacional do corpus revela comparações emergentes: nos Estados Unidos, o caso Mata v. Avianca (N07) deslocou o debate da promessa tecnológica para a responsabilidade profissional, com implicações diretas para o ensino da ética aplicada à IA; na Austrália, o estudo empírico de Alimardani (N11) conecta desempenho, avaliação e letramento em IA; na África do Sul, o experimento da AFSA-UP moot court (B04) confronta a qualidade decisória humana e da IA em ambiente universitário; no direito islâmico comparado, a escala GAIES (N08) demonstra a viabilidade de critérios avaliáveis de transparência e supervisão humana em tradições jurídicas distintas. Essa heterogeneidade institucional reforça a advertência contra transplantes normativos automáticos: a infraestrutura regulatória brasileira (LGPD, Res. CNJ 615/2025, PL 2.338/2023) demanda adaptação pedagógica e institucional, não cópia de modelos estrangeiros.</w:t>
      </w:r>
    </w:p>
    <w:p>
      <w:pPr>
        <w:pStyle w:val="Heading2"/>
        <w:spacing w:after="120" w:before="240" w:line="240" w:lineRule="auto"/>
        <w:jc w:val="left"/>
      </w:pPr>
      <w:r>
        <w:rPr>
          <w:rFonts w:ascii="Times New Roman" w:hAnsi="Times New Roman"/>
          <w:b/>
          <w:color w:val="000000"/>
          <w:sz w:val="24"/>
        </w:rPr>
        <w:t>5.1 Da norma à prática pedagógica</w:t>
      </w:r>
    </w:p>
    <w:p>
      <w:pPr>
        <w:spacing w:after="40"/>
      </w:pPr>
      <w:r>
        <w:rPr>
          <w:sz w:val="24"/>
          <w:szCs w:val="24"/>
        </w:rPr>
        <w:t>Os estudos internacionais integrados trazem elementos adicionais ao debate de equidade. O achado de declínio de desempenho entre os melhores estudantes australianos expostos à IA (N11) sugere que o acesso desigual à tecnologia pode exacerbar, e não reduzir, diferenças de desempenho — hipótese compatível com o GAP1 e com a lacuna empírica de equidade algorítmica identificada na revisão. O caso Mata v. Avianca (N07) mostra que os custos da alucinação recaem desproporcionalmente sobre usuários sem verificação robusta de fontes, o que na educação jurídica brasileira tende a atingir instituições com menor infraestrutura de letramento digital. A escala GAIES (N08) oferece critérios avaliativos que podem ser incorporados às futuras diretrizes curriculares brasileiras sobre IA.</w:t>
      </w:r>
    </w:p>
    <w:p>
      <w:pPr>
        <w:spacing w:after="120" w:before="0" w:line="360" w:lineRule="auto"/>
        <w:ind w:firstLine="709"/>
        <w:jc w:val="both"/>
      </w:pPr>
      <w:r>
        <w:t>Os resultados confirmam a assimetria norma-prática proposta: estudos normativos (20/21) não demonstram, por si, eficácia pedagógica. Apenas 7/21 estudos apresentam abordagens pedagógicas com IA como método (D5): B04 (experimento em ambiente universitário), B08 (24 exames simulados com ChatGPT), C03 (educação judicial), N02 (law clinics), N07 (lições de Mata v. Avianca), N08 (escala GAIES) e N11 (quase-experimento australiano). Relatos de experiência (C04, N13, B08) sugerem potencial, mas com amostras limitadas e sem grupo de controle. A distinção entre obrigações jurídicas, recomendações éticas e evidências de aprendizagem permanece operacionalmente necessária.</w:t>
      </w:r>
    </w:p>
    <w:p>
      <w:pPr>
        <w:spacing w:after="40"/>
      </w:pPr>
      <w:r>
        <w:rPr>
          <w:sz w:val="24"/>
          <w:szCs w:val="24"/>
        </w:rPr>
        <w:t>A integração das evidências internacionais recuperadas fortalece três conclusões delimitadas. Primeiro, a dimensão empírica da revisão (antes residual) ganha densidade com um quase-experimento (N11) e um protocolo avaliativo (N08), sem que isso altere o diagnóstico central de assimetria norma-prática. Segundo, a responsabilidade profissional e a integridade da informação jurídica emergem como preocupações transversais, do caso Mata v. Avianca (N07) à escala GAIES (N08), convergindo com os eixos E1-E3 já consolidados. Terceiro, nenhum dos 21 estudos incluídos mensura empiricamente equidade algorítmica no ensino jurídico — a lacuna permanece, agora com denominador explícito n = 21, como agenda prioritária para o campo brasileiro.</w:t>
      </w:r>
    </w:p>
    <w:p>
      <w:pPr>
        <w:pStyle w:val="Heading2"/>
        <w:spacing w:after="120" w:before="240" w:line="240" w:lineRule="auto"/>
        <w:jc w:val="left"/>
      </w:pPr>
      <w:r>
        <w:rPr>
          <w:rFonts w:ascii="Times New Roman" w:hAnsi="Times New Roman"/>
          <w:b/>
          <w:color w:val="000000"/>
          <w:sz w:val="24"/>
        </w:rPr>
        <w:t>5.2 Perspectiva comparada</w:t>
      </w:r>
    </w:p>
    <w:p>
      <w:pPr>
        <w:spacing w:after="120" w:before="0" w:line="360" w:lineRule="auto"/>
        <w:ind w:firstLine="709"/>
        <w:jc w:val="both"/>
      </w:pPr>
      <w:r>
        <w:t>A comparação internacional (D2 = 52,4%) revela convergência temática global (ética, regulação, letramento) com divergência institucional: common law concentra-se em law clinics e responsabilidade do advogado (N02, N04, N14); África do Sul traz experimento universitário em arbitragem com IAGen (B04); Brasil destaca DCNs, currículo e acesso à justiça (C01, C02, C03). Transplantes normativos automáticos devem ser evitados: a infraestrutura regulatória brasileira (LGPD, Res. CNJ 615/2025 quando aplicável ao Judiciário) e o desenho curricular das DCNs exigem adaptação, não cópia.</w:t>
      </w:r>
    </w:p>
    <w:p>
      <w:pPr>
        <w:pStyle w:val="Heading2"/>
        <w:spacing w:after="120" w:before="240" w:line="240" w:lineRule="auto"/>
        <w:jc w:val="left"/>
      </w:pPr>
      <w:r>
        <w:rPr>
          <w:rFonts w:ascii="Times New Roman" w:hAnsi="Times New Roman"/>
          <w:b/>
          <w:color w:val="000000"/>
          <w:sz w:val="24"/>
        </w:rPr>
        <w:t>5.3 Equidade e governança algorítmica</w:t>
      </w:r>
    </w:p>
    <w:p>
      <w:pPr>
        <w:spacing w:after="120" w:before="0" w:line="360" w:lineRule="auto"/>
        <w:ind w:firstLine="709"/>
        <w:jc w:val="both"/>
      </w:pPr>
      <w:r>
        <w:t>A revisão verificou que equidade, acesso, viés, explicabilidade e supervisão humana aparecem de forma fragmentada: E2 (Transparência/explicabilidade) = 71,4% e E3 (Proteção de dados/privacidade) = 57,1% são eixos consolidados, mas D6 (Equidade/Acesso) = 38,1% permanece marginal. Nenhum estudo incluído mensura empiricamente equidade algorítmica no ensino jurídico. Conforme a regra anti-overclaim adotada, ausência de medidas empíricas é reportada como lacuna de evidência, não como prova de inexistência do fenômeno.</w:t>
      </w:r>
    </w:p>
    <w:p>
      <w:pPr>
        <w:pStyle w:val="Heading1"/>
        <w:spacing w:after="120" w:before="240" w:line="240" w:lineRule="auto"/>
        <w:jc w:val="left"/>
      </w:pPr>
      <w:r>
        <w:t>6 CONCLUSÃO</w:t>
      </w:r>
    </w:p>
    <w:p>
      <w:pPr>
        <w:spacing w:after="120" w:before="0" w:line="360" w:lineRule="auto"/>
        <w:ind w:firstLine="709"/>
        <w:jc w:val="both"/>
      </w:pPr>
      <w:r>
        <w:t>A revisão de escopo, executada com fonte de dados reais e auditável (log e matriz), sustenta agora conclusões empíricas delimitadas sobre concentração temática: (i) prevalência normativa (95,2%); (ii) consolidação ética (95,2% fundamentos éticos; 76,2% ética e responsabilidade); (iii) sub-representação relativa de equidade/acesso (38,1%, abaixo dos eixos éticos e normativos); (iv) abordagens pedagógicas com IA como método ainda minoritárias (33,3%); (v) formação docente como recomendação emergente (52,4%). Essas frequências, com denominador explícito n = 21, substituem os valores simulados excluídos nas versões anteriores. As pendências documentadas (SciELO bloqueada, preprints, 5 paywalls internacionais não recuperados — C07, N06, N09, N10, N16 — e 2 candidatos 2026 com paywall — Lorteau &amp; Sarro; Schrepel) constituem limitações formais de acesso, não lacunas ocultas de método. A contribuição do manuscrito reside na integração literatura pedagógica + jurídica + governança em perspectiva Brasil-contextos internacionais, com metodologia reproduzível e numerador/denominador explícitos.</w:t>
      </w:r>
    </w:p>
    <w:p>
      <w:pPr>
        <w:pStyle w:val="Heading1"/>
        <w:spacing w:after="120" w:before="240" w:line="240" w:lineRule="auto"/>
        <w:jc w:val="left"/>
      </w:pPr>
      <w:r>
        <w:rPr>
          <w:rFonts w:ascii="Times New Roman" w:hAnsi="Times New Roman"/>
          <w:b/>
          <w:color w:val="000000"/>
          <w:sz w:val="24"/>
        </w:rPr>
        <w:t>DECLARAÇÕES</w:t>
      </w:r>
    </w:p>
    <w:p>
      <w:pPr>
        <w:spacing w:after="120" w:before="0" w:line="360" w:lineRule="auto"/>
        <w:ind w:firstLine="0"/>
        <w:jc w:val="both"/>
      </w:pPr>
      <w:r>
        <w:rPr>
          <w:rFonts w:ascii="Times New Roman" w:hAnsi="Times New Roman"/>
          <w:b w:val="0"/>
          <w:i w:val="0"/>
          <w:sz w:val="24"/>
        </w:rPr>
        <w:t>Financiamento: O estudo não recebeu financiamento específico.</w:t>
      </w:r>
    </w:p>
    <w:p>
      <w:pPr>
        <w:spacing w:after="120" w:before="0" w:line="360" w:lineRule="auto"/>
        <w:ind w:firstLine="0"/>
        <w:jc w:val="both"/>
      </w:pPr>
      <w:r>
        <w:rPr>
          <w:rFonts w:ascii="Times New Roman" w:hAnsi="Times New Roman"/>
          <w:b w:val="0"/>
          <w:i w:val="0"/>
          <w:sz w:val="24"/>
        </w:rPr>
        <w:t>Conflitos de interesses: Nenhum conflito de interesses a declarar.</w:t>
      </w:r>
    </w:p>
    <w:p>
      <w:pPr>
        <w:spacing w:after="120" w:before="0" w:line="360" w:lineRule="auto"/>
        <w:ind w:firstLine="0"/>
        <w:jc w:val="both"/>
      </w:pPr>
      <w:r>
        <w:rPr>
          <w:rFonts w:ascii="Times New Roman" w:hAnsi="Times New Roman"/>
          <w:b w:val="0"/>
          <w:i w:val="0"/>
          <w:sz w:val="24"/>
        </w:rPr>
        <w:t>Contribuições CRediT: autoria única (declarada na folha de identificação separada): conceptualização, metodologia, investigação, curadoria de dados, análise formal, escrita — revisão e edição.</w:t>
      </w:r>
    </w:p>
    <w:p>
      <w:pPr>
        <w:spacing w:after="120" w:before="0" w:line="360" w:lineRule="auto"/>
        <w:ind w:firstLine="0"/>
        <w:jc w:val="both"/>
      </w:pPr>
      <w:r>
        <w:rPr>
          <w:rFonts w:ascii="Times New Roman" w:hAnsi="Times New Roman"/>
          <w:b w:val="0"/>
          <w:i w:val="0"/>
          <w:sz w:val="24"/>
        </w:rPr>
        <w:t>Disponibilidade de dados: protocolo OSF pendente de registro (depósito em repositório aberto planejado antes da submissão); matriz de extração e exportações das bases disponíveis para auditoria com SHA-256, conforme política de ciência aberta.</w:t>
      </w:r>
    </w:p>
    <w:p>
      <w:pPr>
        <w:spacing w:after="120" w:before="0" w:line="360" w:lineRule="auto"/>
        <w:ind w:firstLine="0"/>
        <w:jc w:val="both"/>
      </w:pPr>
      <w:r>
        <w:rPr>
          <w:rFonts w:ascii="Times New Roman" w:hAnsi="Times New Roman"/>
          <w:b w:val="0"/>
          <w:i w:val="0"/>
          <w:sz w:val="24"/>
        </w:rPr>
        <w:t>Uso de inteligência artificial: ferramentas de IA generativa foram utilizadas como apoio técnico em etapas delimitadas (triagem RH2-IA e edição), com revisão, decisão e supervisão humanas em todas as etapas; declaração detalhada na folha de identificação conforme instruções do periódico.</w:t>
      </w:r>
    </w:p>
    <w:p>
      <w:pPr>
        <w:spacing w:after="120" w:before="0" w:line="360" w:lineRule="auto"/>
        <w:ind w:firstLine="0"/>
        <w:jc w:val="both"/>
      </w:pPr>
      <w:r>
        <w:t>Autoria e afiliação: devem constar apenas na folha de identificação separada, conforme as instruções atuais do periódico-alvo.</w:t>
      </w:r>
    </w:p>
    <w:p>
      <w:pPr>
        <w:pStyle w:val="Heading1"/>
        <w:spacing w:after="120" w:before="240" w:line="240" w:lineRule="auto"/>
        <w:jc w:val="left"/>
      </w:pPr>
      <w:r>
        <w:rPr>
          <w:rFonts w:ascii="Times New Roman" w:hAnsi="Times New Roman"/>
          <w:b/>
          <w:color w:val="000000"/>
          <w:sz w:val="24"/>
        </w:rPr>
        <w:t>REFERÊNCIAS — NÚCLEO VERIFICADO (18/09/2026)</w:t>
      </w:r>
    </w:p>
    <w:p>
      <w:pPr>
        <w:spacing w:after="120" w:line="240" w:lineRule="auto"/>
        <w:jc w:val="left"/>
      </w:pPr>
      <w:r>
        <w:rPr>
          <w:rFonts w:ascii="Times New Roman" w:hAnsi="Times New Roman"/>
          <w:sz w:val="20"/>
        </w:rPr>
        <w:t>ABAL, Felipe Cittolin; PILATI, Adriana Fasolo. Inteligência artificial no ensino jurídico: experiências com GPTs personalizados. International Journal of Digital Law, v. 6, e609, 2025. DOI: 10.47975/ijdl.v.6.1302.</w:t>
      </w:r>
    </w:p>
    <w:p>
      <w:pPr>
        <w:spacing w:after="120" w:line="240" w:lineRule="auto"/>
        <w:jc w:val="left"/>
      </w:pPr>
      <w:r>
        <w:rPr>
          <w:rFonts w:ascii="Times New Roman" w:hAnsi="Times New Roman"/>
          <w:sz w:val="20"/>
        </w:rPr>
        <w:t>BRASIL. Lei n. 13.709, de 14 de agosto de 2018. Lei Geral de Proteção de Dados Pessoais.</w:t>
      </w:r>
    </w:p>
    <w:p>
      <w:pPr>
        <w:spacing w:after="120" w:line="240" w:lineRule="auto"/>
        <w:jc w:val="left"/>
      </w:pPr>
      <w:r>
        <w:t>BRASIL. Senado Federal. Projeto de Lei n. 2.338, de 2023. Dispõe sobre o uso da inteligência artificial. Situação legislativa: aprovado no Senado Federal em dezembro de 2024 e remetido à Câmara dos Deputados; acompanhamento legislativo consultado em 18 set. 2026.</w:t>
      </w:r>
    </w:p>
    <w:p>
      <w:pPr>
        <w:spacing w:after="120" w:line="240" w:lineRule="auto"/>
        <w:jc w:val="left"/>
      </w:pPr>
      <w:r>
        <w:rPr>
          <w:rFonts w:ascii="Times New Roman" w:hAnsi="Times New Roman"/>
          <w:sz w:val="20"/>
        </w:rPr>
        <w:t>BRASIL. Conselho Nacional de Justiça. Resolução n. 615, de 11 de março de 2025. Estabelece diretrizes para o desenvolvimento, utilização e governança de soluções de inteligência artificial no Poder Judiciário.</w:t>
      </w:r>
    </w:p>
    <w:p>
      <w:pPr>
        <w:spacing w:after="120" w:line="240" w:lineRule="auto"/>
        <w:jc w:val="left"/>
      </w:pPr>
      <w:r>
        <w:rPr>
          <w:rFonts w:ascii="Times New Roman" w:hAnsi="Times New Roman"/>
          <w:sz w:val="20"/>
        </w:rPr>
        <w:t>PAGE, Matthew J. et al. The PRISMA 2020 statement: an updated guideline for reporting systematic reviews. BMJ, v. 372, n. 71, 2021. DOI: 10.1136/bmj.n71.</w:t>
      </w:r>
    </w:p>
    <w:p>
      <w:pPr>
        <w:spacing w:after="120" w:line="240" w:lineRule="auto"/>
        <w:jc w:val="left"/>
      </w:pPr>
      <w:r>
        <w:rPr>
          <w:rFonts w:ascii="Times New Roman" w:hAnsi="Times New Roman"/>
          <w:sz w:val="20"/>
        </w:rPr>
        <w:t>PETERS, Micah D. J. et al. Updated methodological guidance for the conduct of scoping reviews. JBI Evidence Synthesis, v. 18, n. 10, p. 2119–2126, 2020. DOI: 10.11124/JBIES-20-00167.</w:t>
      </w:r>
    </w:p>
    <w:p>
      <w:pPr>
        <w:spacing w:after="120" w:line="240" w:lineRule="auto"/>
        <w:jc w:val="left"/>
      </w:pPr>
      <w:r>
        <w:rPr>
          <w:rFonts w:ascii="Times New Roman" w:hAnsi="Times New Roman"/>
          <w:sz w:val="20"/>
        </w:rPr>
        <w:t>TRICCO, Andrea C. et al. PRISMA Extension for Scoping Reviews (PRISMA-ScR): checklist and explanation. Annals of Internal Medicine, v. 169, p. 467–473, 2018.</w:t>
      </w:r>
    </w:p>
    <w:p>
      <w:pPr>
        <w:spacing w:after="120" w:line="240" w:lineRule="auto"/>
        <w:jc w:val="left"/>
      </w:pPr>
      <w:r>
        <w:rPr>
          <w:rFonts w:ascii="Times New Roman" w:hAnsi="Times New Roman"/>
          <w:sz w:val="20"/>
        </w:rPr>
        <w:t>UNESCO; MIAO, Fengchun; HOLMES, Wayne. Guidance for generative AI in education and research. Paris: UNESCO, 2023. DOI: 10.54675/EWZM9535.</w:t>
      </w:r>
    </w:p>
    <w:p>
      <w:pPr>
        <w:spacing w:after="120" w:line="240" w:lineRule="auto"/>
        <w:jc w:val="left"/>
      </w:pPr>
      <w:r>
        <w:rPr>
          <w:rFonts w:ascii="Times New Roman" w:hAnsi="Times New Roman"/>
          <w:sz w:val="20"/>
        </w:rPr>
        <w:t>UNIÃO EUROPEIA. Regulamento (UE) 2024/1689 do Parlamento Europeu e do Conselho, de 13 de junho de 2024, que estabelece regras harmonizadas em matéria de inteligência artificial.</w:t>
      </w:r>
    </w:p>
    <w:p>
      <w:pPr>
        <w:spacing w:after="120" w:line="240" w:lineRule="auto"/>
        <w:jc w:val="left"/>
      </w:pPr>
      <w:r>
        <w:rPr>
          <w:rFonts w:ascii="Times New Roman" w:hAnsi="Times New Roman"/>
          <w:sz w:val="20"/>
        </w:rPr>
        <w:t>VALENCIA JIMÉNEZ, Carla Alessandra; BELTRÁN PACHECO, Jorge Alberto. Dilemas éticos de la Inteligencia Artificial en la práctica legal: Revisión Sistemática. Revista Tribunal, v. 5, n. 12, p. 748–766, 2025. DOI: 10.59659/revistatribunal.v5i12.235.</w:t>
      </w:r>
    </w:p>
    <w:p>
      <w:pPr>
        <w:spacing w:after="120" w:line="240" w:lineRule="auto"/>
        <w:jc w:val="left"/>
      </w:pPr>
      <w:r>
        <w:rPr>
          <w:rFonts w:ascii="Times New Roman" w:hAnsi="Times New Roman"/>
          <w:sz w:val="20"/>
        </w:rPr>
        <w:t>PAULA, Gil César Costa de. Inteligência artificial generativa: desafios para o ensino jurídico superior brasileiro. Revista OWL, v. 4, n. 5, p. 1–22, 2026. DOI: 10.5281/zenodo.19966396.</w:t>
      </w:r>
    </w:p>
    <w:p>
      <w:pPr/>
      <w:r>
        <w:t>KOROYE, Tamarakemiebi; SIKPI, Donald. GenAI as whetstone: a Socratic framework for sharpening critical thinking in legal education. Law, Technology and Humans, v. 7, n. 3, 2025. DOI: 10.5204/lthj.4053.</w:t>
      </w:r>
    </w:p>
    <w:p>
      <w:pPr/>
      <w:r>
        <w:t>LANDY, Nicole. Early PLT student perceptions of the integration of Generative AI in legal education. Law, Technology and Humans, v. 7, n. 3, 2025. DOI: 10.5204/lthj.4031.</w:t>
      </w:r>
    </w:p>
    <w:p>
      <w:pPr/>
      <w:r>
        <w:t>BABOOLAL-FRANK, Rashri; PAPADOPOULOS, Sylvia; SCHOEMAN, Elsabe. Humans v machine: the AFSA-UP moot court experiment with ChatGPT 4.0. De Jure Law Journal, v. 58, n. 1, 2025.</w:t>
      </w:r>
    </w:p>
    <w:p>
      <w:pPr/>
      <w:r>
        <w:t>HYDE-VAAMONDE, Cari; KELLER, Anat. Testing the frontier: generative AI in legal education and beyond. Law, Technology and Humans, v. 7, n. 3, 2025. DOI: 10.5204/lthj.4037.</w:t>
      </w:r>
    </w:p>
    <w:p>
      <w:pPr/>
      <w:r>
        <w:t>PRAKASH G., Aswathy; NAIR, Vishnu. Integrating generative AI into legal education: from casebooks to code, opportunities and challenges. Law, Technology and Humans, v. 6, n. 3, 2024. DOI: 10.5204/lthj.3640.</w:t>
      </w:r>
    </w:p>
    <w:p>
      <w:pPr/>
      <w:r>
        <w:t>HARGREAVES, Stuart. 'Words are Flowing Out Like Endless Rain Into a Paper Cup': ChatGPT &amp; law school assessments. Legal Education Review, v. 33, n. 1, 2023. DOI: 10.53300/001c.83297.</w:t>
      </w:r>
    </w:p>
    <w:p>
      <w:pPr/>
      <w:r>
        <w:t>SOUZA, Eduardo Nunes de. Ensino jurídico e inteligência artificial: primeiro esboço de uma abordagem civil-constitucional. Pensar, Fortaleza, v. 28, n. 2, p. 1–22, 2023. DOI: 10.5020/2317-2150.2023.14450.</w:t>
      </w:r>
    </w:p>
    <w:p>
      <w:pPr/>
      <w:r>
        <w:t>CARMO, Lisbino Geraldo Miranda do; ALVES, Leonardo da Silva. Diretrizes éticas para implementação de inteligência artificial no ensino jurídico-tributário brasileiro: análise documental dos marcos normativos e recomendatórios (2020–2025). Revista Inclusiones, v. 13, n. 2, e3840, 2026. DOI: 10.58210/rie3840.</w:t>
      </w:r>
    </w:p>
    <w:p>
      <w:pPr/>
      <w:r>
        <w:t>Inteligência artificial e Direito Digital: as novas metodologias no ensino jurídico e os desafios éticos para construção do aprendizado e do desenvolvimento crítico. In: Anais do 7º Congresso Internacional de Direito e Contemporaneidade: mídias e direitos da sociedade em rede. Santa Maria: UFSM, 2024.</w:t>
      </w:r>
    </w:p>
    <w:p>
      <w:pPr/>
      <w:r>
        <w:t>SOSTER, Tatiana Sansone; LEMES, Maurício Buosi; SILVA, Enya Carolina. Inteligência Artificial Generativa na Educação Judicial: desafios e boas práticas. R. Themis, Fortaleza, v. 23, n. 1, p. 17–41, 2025.</w:t>
      </w:r>
    </w:p>
    <w:p>
      <w:pPr/>
      <w:r>
        <w:t>FORNASIER, Mateus de Oliveira. Ensino jurídico no século XXI e a inteligência artificial. Revista Opinião Jurídica, v. 19, n. 31, p. 1–32, 2021.</w:t>
      </w:r>
    </w:p>
    <w:p>
      <w:pPr/>
      <w:r>
        <w:t>SALES, Ana Débora Rocha. As metodologias ativas no ensino jurídico: aplicabilidade na inteligência artificial. Revista de Direito, Governança e Novas Tecnologias, v. 8, n. 1, 2022.</w:t>
      </w:r>
    </w:p>
    <w:p>
      <w:pPr/>
      <w:r>
        <w:t>RYAN, Francine; HARDIE, Liz. ChatGPT, I have a Legal Question? The impact of GenAI tools on law clinics and access to justice. International Journal of Clinical Legal Education, v. 31, n. 1, 2024. DOI: 10.19164/ijcle.v31i1.1401.</w:t>
      </w:r>
    </w:p>
    <w:p>
      <w:pPr/>
      <w:r>
        <w:t>ABBASI, Muhammad Zubair. Responsible legal augmentation: integrating generative AI into legal practice. Law, Technology and Humans, v. 7, n. 3, 2025. DOI: 10.5204/lthj.4200.</w:t>
      </w:r>
    </w:p>
    <w:p>
      <w:pPr/>
      <w:r>
        <w:t>CURLIN IV, James H. ChatGPT Didn't Write This... or Did It? The emergence of generative AI in the legal field and lessons from Mata v. Avianca. Arkansas Law Review, v. 78, n. 1, art. 6, 2025. DOI: 10.54119/alr.mlrt4575.</w:t>
      </w:r>
    </w:p>
    <w:p>
      <w:pPr/>
      <w:r>
        <w:t>ABBASI, Muhammad Zubair. Scaling Artificial Intelligence for Augmented Learning: developing a generative AI evaluation scale through a case study in Islamic inheritance law. Journal of Digital Islamicate Research, 2025. DOI: 10.1163/27732363-20250002.</w:t>
      </w:r>
    </w:p>
    <w:p>
      <w:pPr/>
      <w:r>
        <w:t>ALIMARDANI, Armin. Generative artificial intelligence vs. law students: an empirical study on criminal law exam performance. Law, Innovation and Technology, v. 16, n. 2, p. 777–819, 2024. DOI: 10.1080/17579961.2024.2392932.</w:t>
      </w:r>
    </w:p>
    <w:p>
      <w:pPr/>
      <w:r>
        <w:t>WARTENBERG, K. E-learning with an AI learning assistant for legal education in public administration. International Journal of Advanced Corporate Learning, v. 18, n. 4, 2025.</w:t>
      </w:r>
    </w:p>
    <w:p>
      <w:pPr/>
      <w:r>
        <w:t>MATTHEE, Jacques; STOPFORTH, Grey. The importance of ethical and responsible AI training in law schools to avoid career-ending pitfalls for aspiring legal practitioners. Journal for Juridical Science, v. 50, n. 1, 2025.</w:t>
      </w:r>
    </w:p>
    <w:p>
      <w:pPr/>
      <w:r>
        <w:t>RAMASWAMY, M. P. Evolving norms governing AI engagement in legal practice and the prospective alignment of law school curriculum. UCP Journal of Law &amp; Legal Education, v. 2, n. 2, 2024.</w:t>
      </w:r>
    </w:p>
    <w:p>
      <w:pPr/>
      <w:r>
        <w:t>LORTEAU, Steve; SARRO, Douglas. Artificial intelligence in legal education: a scoping review. The Law Teacher, v. 60, n. 1, p. 138–162, 2026. DOI: 10.1080/03069400.2025.2592440.</w:t>
      </w:r>
    </w:p>
    <w:p>
      <w:pPr/>
      <w:r>
        <w:t>SCHREPEL, Thibault. Generative AI in legal education: a two-year experiment with ChatGPT. Law, Innovation and Technology, v. 18, n. 1, p. 1–42, 2026. DOI: 10.1080/17579961.2026.2633673.</w:t>
      </w:r>
    </w:p>
    <w:sectPr w:rsidR="00FC693F" w:rsidRPr="0006063C" w:rsidSect="00034616">
      <w:footerReference w:type="default" r:id="rId9"/>
      <w:pgSz w:w="11906" w:h="16838"/>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