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(2020–2025)</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br w:type="page"/>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(2020-2025)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(2020-2025)</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2020–2025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(RH2-IA),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t>Fluxograma PRISMA-ScR (números rastreáveis):</w:t>
        <w:br/>
        <w:br/>
        <w:t>(1) Registros identificados em bases: OpenAlex O1 broad = 42.671; OpenAlex O2 foco IA+educação jurídica = 25 (após filtro de tópico, exportação oa1.json); OpenAlex O3 IA generativa + educação jurídica = 25 (exportação oa2.json); DOAJ = 33 registros brutos para a combinação de strings, 35 inteiros brutos somando strings (17/09/2026). Google Acadêmico formal e varredura formal de SciELO (bloqueada por proteção anti-bot HTTP 503) e Educ@ permanecem documentadas como pendências de acesso no log §2.5; preprints (SSRN/SciELO Preprints) também pendentes.</w:t>
        <w:br/>
        <w:br/>
        <w:t>(2) Triagem título/resumo: sobre as exportações OpenAlex O2 e O3 (50 registros), aplicados critérios de elegibilidade PICo. Triagem manual registrada no log §2.4: O2 = 21 incluídos/4 excluídos; O3 = 1 incluído (O impacto da IA 2020)/24 excluídos.</w:t>
        <w:br/>
        <w:br/>
        <w:t>(3) Texto completo recuperado: após consenso RH1×RH2-IA (18/09/2026), os estudos A01 (E2 — centralidade educacional secundária), B02 (E4 — introdução editorial sem método próprio), N03 (E4 — sem desenho metodológico delimitado) e N12 (E4 — análise temática informal) foram excluídos com motivo documentado. Corpus final: 21 estudos incluídos (B01, B03, B04, B05, B06, B08, B09, C01, C02, C03, C04, C05, C06, N02, N04, N07, N08, N11, N13, N14, N15). N07, N08, N11 foram recuperados por rotas legítimas (Arkansas Law Review via Wayback; Brill XML via Wayback; T&amp;F). Estudos não recuperáveis por rota legítima: C07 (RBIAD subscription), N06 (T&amp;F), N09 (SAGE), N10 (ResearchGate), N16 (Verlag Österreich) - declarados no fluxograma como não recuperados com motivo (risco de viés de publicação).</w:t>
        <w:br/>
        <w:br/>
        <w:t>(4) Busca de atualização 2026 (emenda temporal 18/09/2026): OpenAlex identificou 3 candidatos — Lorteau &amp; Sarro (The Law Teacher, scoping review concorrente; paywall), Schrepel (Law, Innovation and Technology, experimento de dois anos; paywall) e Fruehwald (SSRN, preprint). Lorteau &amp; Sarro e Schrepel não recuperáveis por rota legítima local (não contam nos denominadores); Fruehwald é preprint (fora do critério de tipo documental).</w:t>
        <w:br/>
        <w:br/>
        <w:t>(5) Estudos incluídos na síntese (n = 21): B01, B03, B04, B05, B06, B08, B09, C01, C02, C03, C04, C05, C06, N02, N04, N07, N08, N11, N13, N14, N15. C07 declarado como não-recuperável por subscription (RBIAD) e excluído com motivo; B07 deduplicado em N02.</w:t>
        <w:br/>
        <w:br/>
        <w:t>Caracterização: 21 estudos incluídos, 2020–2026; origem geográfica: Brasil (7), Internacional (14: Reino Unido, Austrália, África do Sul, Colômbia, Hong Kong, Índia/EAU, Paquistão, direito islâmico comparado, contexto europeu); desenhos predominantes: artigos teóricos/bibliográficos, relatos de experiência e estudos de caso; periódicos e editoras: revistas jurídicas brasileiras (Pensar, Revista de Direito e Novas Tecnologias, IJDL, UFSM, THEMIS, Inclusiones, Redalyc) e internacionais (IJCLEC, Law, Technology and Humans, China Journal, iJAC, The Law Teacher, Legal Education Review).</w:t>
      </w:r>
    </w:p>
    <w:p>
      <w:pPr>
        <w:jc w:val="center"/>
      </w:pPr>
      <w:r>
        <w:drawing>
          <wp:inline xmlns:a="http://schemas.openxmlformats.org/drawingml/2006/main" xmlns:pic="http://schemas.openxmlformats.org/drawingml/2006/picture">
            <wp:extent cx="5166360" cy="6544672"/>
            <wp:docPr id="1" name="Picture 1"/>
            <wp:cNvGraphicFramePr>
              <a:graphicFrameLocks noChangeAspect="1"/>
            </wp:cNvGraphicFramePr>
            <a:graphic>
              <a:graphicData uri="http://schemas.openxmlformats.org/drawingml/2006/picture">
                <pic:pic>
                  <pic:nvPicPr>
                    <pic:cNvPr id="0" name="fluxograma_prisma_R522.png"/>
                    <pic:cNvPicPr/>
                  </pic:nvPicPr>
                  <pic:blipFill>
                    <a:blip r:embed="rId10"/>
                    <a:stretch>
                      <a:fillRect/>
                    </a:stretch>
                  </pic:blipFill>
                  <pic:spPr>
                    <a:xfrm>
                      <a:off x="0" y="0"/>
                      <a:ext cx="5166360" cy="6544672"/>
                    </a:xfrm>
                    <a:prstGeom prst="rect"/>
                  </pic:spPr>
                </pic:pic>
              </a:graphicData>
            </a:graphic>
          </wp:inline>
        </w:drawing>
      </w:r>
    </w:p>
    <w:p>
      <w:pPr>
        <w:jc w:val="center"/>
      </w:pPr>
      <w:r>
        <w:rPr>
          <w:i/>
          <w:sz w:val="18"/>
        </w:rPr>
        <w:t>Figura 1 — Fluxograma PRISMA-ScR (execução real, n = 21). Números rastreáveis no log de execução real.</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Dimensão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D1 Marcos normativos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D2 Comparação internacional</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B06, B09, C04, C05, N04,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D3 Letramento/competências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52,4%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B09, N13, N14,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D4 Ética e responsabilidade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16</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76,2%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D5 Abordagens pedagógicas (IA como método)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7</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33,3%</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B04, B08, C03, N02,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D6 Equidade/Acesso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38,1%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B09, C04, C05,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tbl>
      <w:tblPr>
        <w:tblStyle w:val="TableGrid"/>
        <w:tblW w:type="dxa" w:w="8928"/>
        <w:jc w:val="center"/>
        <w:tblLayout w:type="fixed"/>
        <w:tblLook w:firstColumn="1" w:firstRow="1" w:lastColumn="0" w:lastRow="0" w:noHBand="0" w:noVBand="1" w:val="04A0"/>
        <w:tblInd w:w="0" w:type="dxa"/>
      </w:tblPr>
      <w:tblGrid>
        <w:gridCol w:w="3024"/>
        <w:gridCol w:w="3024"/>
        <w:gridCol w:w="3024"/>
        <w:gridCol w:w="3000"/>
      </w:tblGrid>
      <w:tr>
        <w:tc>
          <w:tcPr>
            <w:tcW w:type="dxa" w:w="2045"/>
            <w:vAlign w:val="center"/>
            <w:tcMar>
              <w:top w:w="25" w:type="dxa"/>
              <w:start w:w="35" w:type="dxa"/>
              <w:bottom w:w="25" w:type="dxa"/>
              <w:end w:w="35" w:type="dxa"/>
            </w:tcMar>
          </w:tcPr>
          <w:p>
            <w:pPr>
              <w:spacing w:before="0" w:after="0"/>
            </w:pPr>
            <w:r>
              <w:rPr>
                <w:rFonts w:ascii="Arial" w:hAnsi="Arial" w:eastAsia="Arial"/>
                <w:b/>
                <w:sz w:val="13"/>
              </w:rPr>
              <w:t>Eixo</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b/>
                <w:sz w:val="13"/>
              </w:rPr>
              <w:t>n</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b/>
                <w:sz w:val="13"/>
              </w:rPr>
              <w:t>% (de 21)</w:t>
            </w:r>
          </w:p>
        </w:tc>
        <w:tc>
          <w:tcPr>
            <w:tcW w:type="dxa" w:w="5501"/>
            <w:vAlign w:val="center"/>
            <w:tcMar>
              <w:top w:w="25" w:type="dxa"/>
              <w:start w:w="35" w:type="dxa"/>
              <w:bottom w:w="25" w:type="dxa"/>
              <w:end w:w="35" w:type="dxa"/>
            </w:tcMar>
          </w:tcPr>
          <w:p>
            <w:pPr>
              <w:spacing w:before="0" w:after="0"/>
            </w:pPr>
            <w:r>
              <w:rPr>
                <w:rFonts w:ascii="Arial" w:hAnsi="Arial" w:eastAsia="Arial"/>
                <w:b/>
                <w:sz w:val="13"/>
              </w:rPr>
              <w:t>IDs da matriz</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E1 Fundamentos éticos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20</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95,2%</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B06, B08, B09, C01, C02, C03, C04, C05, C06, N02,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E2 Transparência/explicabilidade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15</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71,4%</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B04, B05, B06, B09, C01, C03, C05, N02, N04, N13,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E3 Proteção de dados/privacidade</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12</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57,1%</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B03, B04, B08, B09, C01, C03, N02, N04, N13, N15, N07,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E4 Competências humanísticas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18</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85,7%</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B01, B03, B04, B05, B08, B09, C01, C02, C03, C04, C05, C06, N04, N14, N15, N07, N08, N11</w:t>
            </w:r>
          </w:p>
        </w:tc>
      </w:tr>
      <w:tr>
        <w:tc>
          <w:tcPr>
            <w:tcW w:type="dxa" w:w="2045"/>
            <w:vAlign w:val="center"/>
            <w:tcMar>
              <w:top w:w="25" w:type="dxa"/>
              <w:start w:w="35" w:type="dxa"/>
              <w:bottom w:w="25" w:type="dxa"/>
              <w:end w:w="35" w:type="dxa"/>
            </w:tcMar>
          </w:tcPr>
          <w:p>
            <w:pPr>
              <w:spacing w:before="0" w:after="0" w:line="240" w:lineRule="auto"/>
              <w:jc w:val="left"/>
            </w:pPr>
            <w:r>
              <w:rPr>
                <w:rFonts w:ascii="Arial" w:hAnsi="Arial" w:eastAsia="Arial"/>
                <w:sz w:val="14"/>
              </w:rPr>
              <w:t>Total de estudos únicos incluídos</w:t>
            </w:r>
          </w:p>
        </w:tc>
        <w:tc>
          <w:tcPr>
            <w:tcW w:type="dxa" w:w="490"/>
            <w:vAlign w:val="center"/>
            <w:tcMar>
              <w:top w:w="25" w:type="dxa"/>
              <w:start w:w="35" w:type="dxa"/>
              <w:bottom w:w="25" w:type="dxa"/>
              <w:end w:w="35" w:type="dxa"/>
            </w:tcMar>
          </w:tcPr>
          <w:p>
            <w:pPr>
              <w:spacing w:before="0" w:after="0" w:line="240" w:lineRule="auto"/>
              <w:jc w:val="center"/>
            </w:pPr>
            <w:r>
              <w:rPr>
                <w:rFonts w:ascii="Arial" w:hAnsi="Arial" w:eastAsia="Arial"/>
                <w:sz w:val="14"/>
              </w:rPr>
              <w:t>21</w:t>
            </w:r>
          </w:p>
        </w:tc>
        <w:tc>
          <w:tcPr>
            <w:tcW w:type="dxa" w:w="893"/>
            <w:vAlign w:val="center"/>
            <w:tcMar>
              <w:top w:w="25" w:type="dxa"/>
              <w:start w:w="35" w:type="dxa"/>
              <w:bottom w:w="25" w:type="dxa"/>
              <w:end w:w="35" w:type="dxa"/>
            </w:tcMar>
          </w:tcPr>
          <w:p>
            <w:pPr>
              <w:spacing w:before="0" w:after="0" w:line="240" w:lineRule="auto"/>
              <w:jc w:val="center"/>
            </w:pPr>
            <w:r>
              <w:rPr>
                <w:rFonts w:ascii="Arial" w:hAnsi="Arial" w:eastAsia="Arial"/>
                <w:sz w:val="14"/>
              </w:rPr>
              <w:t>100,0%</w:t>
            </w:r>
          </w:p>
        </w:tc>
        <w:tc>
          <w:tcPr>
            <w:tcW w:type="dxa" w:w="5501"/>
            <w:vAlign w:val="center"/>
            <w:tcMar>
              <w:top w:w="25" w:type="dxa"/>
              <w:start w:w="35" w:type="dxa"/>
              <w:bottom w:w="25" w:type="dxa"/>
              <w:end w:w="35" w:type="dxa"/>
            </w:tcMar>
          </w:tcPr>
          <w:p>
            <w:pPr>
              <w:spacing w:before="0" w:after="0" w:line="240" w:lineRule="auto"/>
              <w:jc w:val="left"/>
            </w:pPr>
            <w:r>
              <w:rPr>
                <w:rFonts w:ascii="Arial" w:hAnsi="Arial" w:eastAsia="Arial"/>
                <w:sz w:val="12"/>
              </w:rPr>
              <w:t>—</w:t>
            </w:r>
          </w:p>
        </w:tc>
      </w:tr>
    </w:tbl>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RH2-IA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(2020–2025).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p>
      <w:pPr>
        <w:pStyle w:val="Heading1"/>
        <w:spacing w:after="120" w:before="240" w:line="240" w:lineRule="auto"/>
        <w:jc w:val="left"/>
      </w:pPr>
      <w:r>
        <w:rPr>
          <w:rFonts w:ascii="Times New Roman" w:hAnsi="Times New Roman"/>
          <w:b/>
          <w:color w:val="000000"/>
          <w:sz w:val="24"/>
        </w:rPr>
        <w:t>NOTA DE AUDITORIA EDITORIAL</w:t>
      </w:r>
    </w:p>
    <w:p>
      <w:pPr>
        <w:spacing w:after="240" w:before="0" w:line="360" w:lineRule="auto"/>
        <w:ind w:firstLine="709"/>
        <w:jc w:val="both"/>
      </w:pPr>
      <w:r>
        <w:rPr>
          <w:rFonts w:ascii="Times New Roman" w:hAnsi="Times New Roman"/>
          <w:b w:val="0"/>
          <w:i/>
          <w:sz w:val="18"/>
        </w:rPr>
        <w:t>O periódico Educação Por Escrito é atualmente classificado como Qualis A4 na área principal, e não A1. Assim, “Qualis A1” pode ser tratado apenas como meta de rigor ou como requisito para seleção de outro periódico. As instruções atuais da Educação Por Escrito exigem, entre outros pontos, manuscrito desidentificado, folha de identificação separada, declaração de uso de IA, ORCID, formato Word e extensão de 15 a 20 páginas. Antes de qualquer submissão, a revista-alvo e sua classificação devem ser confirmadas novamente na fonte oficial vigente.</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