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(2020–2026)</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r>
      <w:r/>
      <w: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manual com apoio de IA (RH1×RH2),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abordagens pedagógicas com IA como método permanecem minoritárias (D5 = 33,3%) e equidade/acesso é o eixo menos representado (D6 = 38,1%). Conclusão. Confirma-se a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manual screening supported by AI (RH1×RH2),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pedagogical approaches using AI as a method remain minority (D5 = 33.3%) and equity/access is the least represented axis (D6 = 38.1%).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foi realizada pelo autor (RH1) com apoio de triagem técnica por IA (RH2), com resolução documentada de divergências (consenso de 18/09/2026). O fluxo registrou identificação, deduplicação, triagem por título/resumo, avaliação de texto completo, motivos de exclusão e conjunto final incluído (21 estudos). A ficha de extração conteve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p>
    <w:p>
      <w:pPr>
        <w:pStyle w:val="Heading2"/>
        <w:spacing w:after="120" w:before="240" w:line="240" w:lineRule="auto"/>
        <w:jc w:val="left"/>
      </w:pPr>
      <w:r>
        <w:t>4.1 Fluxograma PRISMA-ScR e caracterização dos estudos incluídos</w:t>
      </w:r>
    </w:p>
    <w:p>
      <w:pPr>
        <w:spacing w:after="120" w:before="0" w:line="360" w:lineRule="auto"/>
        <w:ind w:firstLine="709"/>
        <w:jc w:val="both"/>
      </w:p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p>
    <w:p>
      <w:pPr>
        <w:spacing w:before="120" w:after="80"/>
        <w:jc w:val="center"/>
      </w:pPr>
      <w: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t>4.2 Frequências observadas das dimensões analíticas e dos eixos temáticos</w:t>
      </w:r>
    </w:p>
    <w:p>
      <w:pPr>
        <w:spacing w:after="120" w:before="0" w:line="360" w:lineRule="auto"/>
        <w:ind w:firstLine="709"/>
        <w:jc w:val="both"/>
      </w:pPr>
      <w: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33,3%</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C03, N02,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pPr>
        <w:pStyle w:val="Heading2"/>
      </w:pPr>
      <w: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 evidência de que D3 (Responsabilidade) e E3 (Dados/Privacidade) se consolidam como eixos operacionais, não apenas teóricos.</w:t>
      </w:r>
    </w:p>
    <w:p>
      <w:pPr>
        <w:spacing w:after="40"/>
      </w:pPr>
      <w:r>
        <w:rPr>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t>5 DISCUSSÃO</w:t>
      </w:r>
    </w:p>
    <w:p>
      <w:pPr>
        <w:spacing w:after="40"/>
      </w:pPr>
      <w:r>
        <w:rPr>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 com 82 obras de 26 jurisdições —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 C07, N06, N09, N10, N16 — e 2 candidatos 2026 com paywall —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 revisão e edição.</w:t>
      </w:r>
    </w:p>
    <w:p>
      <w:pPr>
        <w:spacing w:after="120" w:before="0" w:line="360" w:lineRule="auto"/>
        <w:ind w:firstLine="0"/>
        <w:jc w:val="both"/>
      </w:pPr>
      <w:r>
        <w:rPr>
          <w:rFonts w:ascii="Times New Roman" w:hAnsi="Times New Roman"/>
          <w:b w:val="0"/>
          <w:i w:val="0"/>
          <w:sz w:val="24"/>
        </w:rPr>
        <w:t>Disponibilidade de dados: protocolo OSF pendente de registro (depósito em repositório aberto planejado antes da submissão); matriz de extração e exportações das bases disponíveis para auditoria com SHA-256, conforme política de ciência aberta.</w:t>
      </w:r>
    </w:p>
    <w:p>
      <w:pPr>
        <w:spacing w:after="120" w:before="0" w:line="360" w:lineRule="auto"/>
        <w:ind w:firstLine="0"/>
        <w:jc w:val="both"/>
      </w:pPr>
      <w:r>
        <w:rPr>
          <w:rFonts w:ascii="Times New Roman" w:hAnsi="Times New Roman"/>
          <w:b w:val="0"/>
          <w:i w:val="0"/>
          <w:sz w:val="24"/>
        </w:rPr>
        <w:t>Uso de inteligência artificial: ferramentas de IA generativa foram utilizadas como apoio técnico em etapas delimitadas (triagem RH2 e edição), com revisão, decisão e supervisão humanas em todas as etapas; declaração detalhada na folha de identificação conforme instruções do periódico.</w:t>
      </w:r>
    </w:p>
    <w:p>
      <w:pPr>
        <w:spacing w:after="120" w:before="0" w:line="360" w:lineRule="auto"/>
        <w:ind w:firstLine="0"/>
        <w:jc w:val="both"/>
      </w:pPr>
      <w:r>
        <w:t>Autoria e afiliação: devem constar apenas na folha de identificação separada, conforme as instruções atuais do periódico-alvo.</w:t>
      </w:r>
    </w:p>
    <w:p>
      <w:pPr>
        <w:pStyle w:val="Heading1"/>
        <w:spacing w:after="120" w:before="240" w:line="240" w:lineRule="auto"/>
        <w:jc w:val="left"/>
      </w:pPr>
      <w:r>
        <w:rPr>
          <w:rFonts w:ascii="Times New Roman" w:hAnsi="Times New Roman"/>
          <w:b/>
          <w:color w:val="000000"/>
          <w:sz w:val="24"/>
        </w:rPr>
        <w:t>REFERÊNCIAS — NÚCLEO VERIFICADO (18/09/2026)</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t>BRASIL. Senado Federal. Projeto de Lei n. 2.338, de 2023. Dispõe sobre o uso da inteligência artificial. Situação legislativa: aprovado no Senado Federal em dezembro de 2024 e remetido à Câmara dos Deputados; acompanhamento legislativo consultado em 18 set. 2026.</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w:t>
      </w:r>
    </w:p>
    <w:p>
      <w:pPr/>
      <w:r>
        <w:t>KOROYE, Tamarakemiebi; SIKPI, Donald. GenAI as whetstone: a Socratic framework for sharpening critical thinking in legal education. Law, Technology and Humans, v. 7, n. 3, 2025. DOI: 10.5204/lthj.4053.</w:t>
      </w:r>
    </w:p>
    <w:p>
      <w:pPr/>
      <w:r>
        <w:t>LANDY, Nicole. Early PLT student perceptions of the integration of Generative AI in legal education. Law, Technology and Humans, v. 7, n. 3, 2025. DOI: 10.5204/lthj.4031.</w:t>
      </w:r>
    </w:p>
    <w:p>
      <w:pPr/>
      <w:r>
        <w:t>BABOOLAL-FRANK, Rashri; PAPADOPOULOS, Sylvia; SCHOEMAN, Elsabe. Humans v machine: the AFSA-UP moot court experiment with ChatGPT 4.0. De Jure Law Journal, v. 58, n. 1, 2025.</w:t>
      </w:r>
    </w:p>
    <w:p>
      <w:pPr/>
      <w:r>
        <w:t>HYDE-VAAMONDE, Cari; KELLER, Anat. Testing the frontier: generative AI in legal education and beyond. Law, Technology and Humans, v. 7, n. 3, 2025. DOI: 10.5204/lthj.4037.</w:t>
      </w:r>
    </w:p>
    <w:p>
      <w:pPr/>
      <w:r>
        <w:t>PRAKASH G., Aswathy; NAIR, Vishnu. Integrating generative AI into legal education: from casebooks to code, opportunities and challenges. Law, Technology and Humans, v. 6, n. 3, 2024. DOI: 10.5204/lthj.3640.</w:t>
      </w:r>
    </w:p>
    <w:p>
      <w:pPr/>
      <w:r>
        <w:t>HARGREAVES, Stuart. 'Words are Flowing Out Like Endless Rain Into a Paper Cup': ChatGPT &amp; law school assessments. Legal Education Review, v. 33, n. 1, 2023. DOI: 10.53300/001c.83297.</w:t>
      </w:r>
    </w:p>
    <w:p>
      <w:pPr/>
      <w:r>
        <w:t>SOUZA, Eduardo Nunes de. Ensino jurídico e inteligência artificial: primeiro esboço de uma abordagem civil-constitucional. Pensar, Fortaleza, v. 28, n. 2, p. 1–22, 2023. DOI: 10.5020/2317-2150.2023.14450.</w:t>
      </w:r>
    </w:p>
    <w:p>
      <w:pPr/>
      <w: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w:t>
      </w:r>
    </w:p>
    <w:p>
      <w:pPr/>
      <w:r>
        <w:t>Inteligência artificial e Direito Digital: as novas metodologias no ensino jurídico e os desafios éticos para construção do aprendizado e do desenvolvimento crítico. In: Anais do 7º Congresso Internacional de Direito e Contemporaneidade: mídias e direitos da sociedade em rede. Santa Maria: UFSM, 2024.</w:t>
      </w:r>
    </w:p>
    <w:p>
      <w:pPr/>
      <w:r>
        <w:t>SOSTER, Tatiana Sansone; LEMES, Maurício Buosi; SILVA, Enya Carolina. Inteligência Artificial Generativa na Educação Judicial: desafios e boas práticas. R. Themis, Fortaleza, v. 23, n. 1, p. 17–41, 2025.</w:t>
      </w:r>
    </w:p>
    <w:p>
      <w:pPr/>
      <w:r>
        <w:t>FORNASIER, Mateus de Oliveira. Ensino jurídico no século XXI e a inteligência artificial. Revista Opinião Jurídica, v. 19, n. 31, p. 1–32, 2021.</w:t>
      </w:r>
    </w:p>
    <w:p>
      <w:pPr/>
      <w:r>
        <w:t>SALES, Ana Débora Rocha. As metodologias ativas no ensino jurídico: aplicabilidade na inteligência artificial. Revista de Direito, Governança e Novas Tecnologias, v. 8, n. 1, 2022.</w:t>
      </w:r>
    </w:p>
    <w:p>
      <w:pPr/>
      <w:r>
        <w:t>RYAN, Francine; HARDIE, Liz. ChatGPT, I have a Legal Question? The impact of GenAI tools on law clinics and access to justice. International Journal of Clinical Legal Education, v. 31, n. 1, 2024. DOI: 10.19164/ijcle.v31i1.1401.</w:t>
      </w:r>
    </w:p>
    <w:p>
      <w:pPr/>
      <w:r>
        <w:t>ABBASI, Muhammad Zubair. Responsible legal augmentation: integrating generative AI into legal practice. Law, Technology and Humans, v. 7, n. 3, 2025. DOI: 10.5204/lthj.4200.</w:t>
      </w:r>
    </w:p>
    <w:p>
      <w:pPr/>
      <w:r>
        <w:t>CURLIN IV, James H. ChatGPT Didn't Write This... or Did It? The emergence of generative AI in the legal field and lessons from Mata v. Avianca. Arkansas Law Review, v. 78, n. 1, art. 6, 2025. DOI: 10.54119/alr.mlrt4575.</w:t>
      </w:r>
    </w:p>
    <w:p>
      <w:pPr/>
      <w:r>
        <w:t>ABBASI, Muhammad Zubair. Scaling Artificial Intelligence for Augmented Learning: developing a generative AI evaluation scale through a case study in Islamic inheritance law. Journal of Digital Islamicate Research, 2025. DOI: 10.1163/27732363-20250002.</w:t>
      </w:r>
    </w:p>
    <w:p>
      <w:pPr/>
      <w:r>
        <w:t>ALIMARDANI, Armin. Generative artificial intelligence vs. law students: an empirical study on criminal law exam performance. Law, Innovation and Technology, v. 16, n. 2, p. 777–819, 2024. DOI: 10.1080/17579961.2024.2392932.</w:t>
      </w:r>
    </w:p>
    <w:p>
      <w:pPr/>
      <w:r>
        <w:t>WARTENBERG, K. E-learning with an AI learning assistant for legal education in public administration. International Journal of Advanced Corporate Learning, v. 18, n. 4, 2025.</w:t>
      </w:r>
    </w:p>
    <w:p>
      <w:pPr/>
      <w:r>
        <w:t>MATTHEE, Jacques; STOPFORTH, Grey. The importance of ethical and responsible AI training in law schools to avoid career-ending pitfalls for aspiring legal practitioners. Journal for Juridical Science, v. 50, n. 1, 2025.</w:t>
      </w:r>
    </w:p>
    <w:p>
      <w:pPr/>
      <w:r>
        <w:t>RAMASWAMY, M. P. Evolving norms governing AI engagement in legal practice and the prospective alignment of law school curriculum. UCP Journal of Law &amp; Legal Education, v. 2, n. 2, 2024.</w:t>
      </w:r>
    </w:p>
    <w:p>
      <w:pPr/>
      <w:r>
        <w:t>LORTEAU, Steve; SARRO, Douglas. Artificial intelligence in legal education: a scoping review. The Law Teacher, v. 60, n. 1, p. 138–162, 2026. DOI: 10.1080/03069400.2025.2592440.</w:t>
      </w:r>
    </w:p>
    <w:p>
      <w:pPr/>
      <w:r>
        <w:t>SCHREPEL, Thibault. Generative AI in legal education: a two-year experiment with ChatGPT. Law, Innovation and Technology, v. 18, n. 1, p. 1–42, 2026. DOI: 10.1080/17579961.2026.2633673.</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