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r>
        <w:rPr>
          <w:rFonts w:ascii="Times New Roman" w:hAnsi="Times New Roman"/>
          <w:b w:val="0"/>
          <w:i w:val="0"/>
          <w:sz w:val="20"/>
        </w:rPr>
      </w: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33,3%).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r>
      <w:r>
        <w:rPr>
          <w:rFonts w:ascii="Times New Roman" w:hAnsi="Times New Roman"/>
          <w:b w:val="0"/>
          <w:i w:val="0"/>
          <w:sz w:val="20"/>
        </w:rPr>
      </w: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33.3%).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Disponibilidade de dados: protocolo OSF ainda não registrado; eventual depósito terá caráter retrospectivo e versionado;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Uso de inteligência artificial: ferramentas de IA generativa foram utilizadas como apoio técnico em etapas delimitadas de organização, auditoria e edição; a triagem de elegibilidade foi realizada por dois revisores humanos independentes (RH1 e RH2), com decisões e consenso humanos;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r>
        <w:rPr>
          <w:b/>
        </w:rPr>
        <w:t xml:space="preserve">Nota de delimitação bibliográfica. </w:t>
      </w:r>
      <w:r>
        <w:t>O corpus analítico é composto exclusivamente pelos 21 estudos incluídos e constitui o denominador das sínteses quantitativas e temáticas. Referências metodológicas e normativas fundamentam o desenho, a discussão e o enquadramento jurídico, mas não integram o corpus. Lorteau &amp; Sarro e Schrepel, identificados na atualização de 2026, são referências contextuais não incluídas no denominador por ausência de recuperação do texto completo por rota legítima; Fruehwald foi excluído pelo tipo documental (preprint).</w:t>
      </w:r>
    </w:p>
    <w:p>
      <w:pPr>
        <w:pStyle w:val="Heading1"/>
        <w:spacing w:after="120" w:before="240" w:line="240" w:lineRule="auto"/>
        <w:jc w:val="left"/>
      </w:pPr>
      <w:r>
        <w:rPr>
          <w:rFonts w:ascii="Times New Roman" w:hAnsi="Times New Roman"/>
          <w:b/>
          <w:color w:val="000000"/>
          <w:sz w:val="24"/>
        </w:rPr>
      </w:r>
      <w:r>
        <w:rPr>
          <w:b/>
        </w:rPr>
        <w:t>REFERÊNCIAS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