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r>
        <w:rPr>
          <w:rFonts w:ascii="Times New Roman" w:hAnsi="Times New Roman"/>
          <w:b w:val="0"/>
          <w:i w:val="0"/>
          <w:sz w:val="20"/>
        </w:rPr>
      </w: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33,3%).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r>
      <w:r>
        <w:rPr>
          <w:rFonts w:ascii="Times New Roman" w:hAnsi="Times New Roman"/>
          <w:b w:val="0"/>
          <w:i w:val="0"/>
          <w:sz w:val="20"/>
        </w:rPr>
      </w: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33.3%).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Disponibilidade de dados: protocolo OSF ainda não registrado; eventual depósito terá caráter retrospectivo e versionado;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r>
      <w:r>
        <w:rPr>
          <w:rFonts w:ascii="Times New Roman" w:hAnsi="Times New Roman"/>
          <w:b w:val="0"/>
          <w:i w:val="0"/>
          <w:sz w:val="24"/>
        </w:rPr>
        <w:t>Uso de inteligência artificial: ferramentas de IA generativa foram utilizadas como apoio técnico em etapas delimitadas de organização, auditoria e edição; a triagem de elegibilidade foi realizada por dois revisores humanos independentes (RH1 e RH2), com decisões e consenso humanos;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r>
        <w:rPr>
          <w:b/>
        </w:rPr>
      </w:r>
      <w:r/>
      <w:r>
        <w:rPr>
          <w:rFonts w:ascii="Times New Roman" w:hAnsi="Times New Roman"/>
          <w:sz w:val="20"/>
        </w:rPr>
        <w:t>Nota de delimitação bibliográfica. O corpus analítico é composto exclusivamente pelos 21 estudos incluídos e constitui o denominador das sínteses quantitativas e temáticas. As referências metodológicas e normativas fundamentam o desenho, a discussão e o enquadramento jurídico, mas não integram o corpus. Lorteau e Sarro (2026) e Schrepel (2026), identificados na atualização temporal, são tratados exclusivamente como literatura contextual de 2026 e não compõem o denominador n = 21. Fruehwald permaneceu excluído pelo tipo documental (preprint). A presença de uma obra na lista de referências não implica sua inclusão no corpus analítico.</w:t>
      </w:r>
    </w:p>
    <w:p>
      <w:pPr>
        <w:pStyle w:val="Heading1"/>
        <w:spacing w:after="120" w:before="240" w:line="240" w:lineRule="auto"/>
        <w:jc w:val="left"/>
      </w:pPr>
      <w:r>
        <w:rPr>
          <w:rFonts w:ascii="Times New Roman" w:hAnsi="Times New Roman"/>
          <w:b/>
          <w:color w:val="000000"/>
          <w:sz w:val="24"/>
        </w:rPr>
      </w:r>
      <w:r>
        <w:rPr>
          <w:b/>
        </w:rPr>
        <w:t>REFERÊNCIAS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r>
        <w:rPr>
          <w:rFonts w:ascii="Times New Roman" w:hAnsi="Times New Roman"/>
          <w:sz w:val="20"/>
        </w:rPr>
        <w:t>KOROYE, Tamarakemiebi; SIKPI, Donald. GenAI as Whetstone: A Socratic Framework for Sharpening Critical Thinking in Legal Education. Law, Technology and Humans, v. 7, n. 3, p. 14–32, 2025. DOI: 10.5204/lthj.4053.</w:t>
      </w:r>
    </w:p>
    <w:p>
      <w:pPr/>
      <w:r/>
      <w:r>
        <w:rPr>
          <w:rFonts w:ascii="Times New Roman" w:hAnsi="Times New Roman"/>
          <w:sz w:val="20"/>
        </w:rPr>
        <w:t>LANDY, Nicole. Early PLT Student Perceptions of the Integration of Generative Artificial Intelligence in Legal Education. Law, Technology and Humans, v. 7, n. 3, p. 33–51, 2025. DOI: 10.5204/lthj.4031.</w:t>
      </w:r>
    </w:p>
    <w:p>
      <w:pPr/>
      <w:r>
        <w:t>BABOOLAL-FRANK, Rashri; PAPADOPOULOS, Sylvia; SCHOEMAN, Elsabe. Humans v machine: the AFSA-UP moot court experiment with ChatGPT 4.0. De Jure Law Journal, v. 58, n. 1, 2025.</w:t>
      </w:r>
    </w:p>
    <w:p>
      <w:pPr/>
      <w:r/>
      <w:r>
        <w:rPr>
          <w:rFonts w:ascii="Times New Roman" w:hAnsi="Times New Roman"/>
          <w:sz w:val="20"/>
        </w:rPr>
        <w:t>HYDE-VAAMONDE, Cari; KELLER, Anat. Testing the Frontier: Generative AI in Legal Education and Beyond. Law, Technology and Humans, v. 7, n. 3, p. 52–61, 2025. DOI: 10.5204/lthj.4037.</w:t>
      </w:r>
    </w:p>
    <w:p>
      <w:pPr/>
      <w:r/>
      <w:r>
        <w:rPr>
          <w:rFonts w:ascii="Times New Roman" w:hAnsi="Times New Roman"/>
          <w:sz w:val="20"/>
        </w:rPr>
        <w:t>PRAKASH G, Aswathy; NAIR, Vishnu. Integrating Generative AI into Legal Education: From Casebooks to Code, Opportunities and Challenges. Law, Technology and Humans, v. 6, n. 3, p. 60–79, 2024. DOI: 10.5204/lthj.3640.</w:t>
      </w:r>
    </w:p>
    <w:p>
      <w:pPr/>
      <w:r/>
      <w:r>
        <w:rPr>
          <w:rFonts w:ascii="Times New Roman" w:hAnsi="Times New Roman"/>
          <w:sz w:val="20"/>
        </w:rPr>
        <w:t>HARGREAVES, Stuart. ‘Words are Flowing Out Like Endless Rain Into a Paper Cup’: ChatGPT &amp; Law School Assessments. Legal Education Review, v. 33, n. 1, p. 69–105,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r>
        <w:rPr>
          <w:rFonts w:ascii="Times New Roman" w:hAnsi="Times New Roman"/>
          <w:sz w:val="20"/>
        </w:rPr>
        <w:t>RYAN, Francine; HARDIE, Liz. ChatGPT, I Have a Legal Question? The Impact of Generative AI Tools on Law Clinics and Access to Justice. International Journal of Clinical Legal Education, v. 31, n. 1, 2024. DOI: 10.19164/ijcle.v31i1.1401.</w:t>
      </w:r>
    </w:p>
    <w:p>
      <w:pPr/>
      <w:r/>
      <w:r>
        <w:rPr>
          <w:rFonts w:ascii="Times New Roman" w:hAnsi="Times New Roman"/>
          <w:sz w:val="20"/>
        </w:rPr>
        <w:t>ABBASI, Zubair. Responsible Legal Augmentation: Integrating Generative AI into Legal Practice. Law, Technology and Humans, v. 7, n. 3, p. 5–13,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r>
        <w:rPr>
          <w:rFonts w:ascii="Times New Roman" w:hAnsi="Times New Roman"/>
          <w:sz w:val="20"/>
        </w:rPr>
        <w:t>WARTENBERG, Katrin. E-Learning with an AI Learning Assistant for Legal Education in Public Administration. International Journal of Advanced Corporate Learning, v. 18, n. 4, 2025. DOI: 10.3991/ijac.v18i4.57923.</w:t>
      </w:r>
    </w:p>
    <w:p>
      <w:pPr/>
      <w:r/>
      <w:r>
        <w:rPr>
          <w:rFonts w:ascii="Times New Roman" w:hAnsi="Times New Roman"/>
          <w:sz w:val="20"/>
        </w:rPr>
        <w:t>MATTHEE, Jacques; STOPFORTH, Grey. The Importance of Ethical and Responsible AI Training in Law Schools to Avoid Career-Ending Pitfalls for Aspiring Attorneys. Journal for Juridical Science, v. 50, n. 1, 2025. DOI: 10.38140/jjs.v50i1.9302.</w:t>
      </w:r>
    </w:p>
    <w:p>
      <w:pPr/>
      <w:r>
        <w:t>RAMASWAMY, M. P. Evolving norms governing AI engagement in legal practice and the prospective alignment of law school curriculum. UCP Journal of Law &amp; Legal Education, v. 2, n. 2, 2024.</w:t>
      </w:r>
    </w:p>
    <w:p>
      <w:r>
        <w:rPr>
          <w:rFonts w:ascii="Times New Roman" w:hAnsi="Times New Roman"/>
          <w:b/>
          <w:sz w:val="20"/>
        </w:rPr>
        <w:t>Literatura contextual da atualização de 2026 — fora do corpus n = 21</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