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rPr>
        <w:t>Revisão de escopo Brasil-comparado sobre ética, governança algorítmica e equidade (2020-2026)</w:t>
      </w:r>
    </w:p>
    <w:p>
      <w:pPr>
        <w:jc w:val="center"/>
      </w:pPr>
      <w:r>
        <w:rPr>
          <w:rFonts w:ascii="Times New Roman" w:hAnsi="Times New Roman"/>
          <w:b/>
          <w:sz w:val="24"/>
        </w:rPr>
        <w:t>GENERATIVE AI IN BRAZILIAN LEGAL EDUCATION: BETWEEN REGULATION AND THE CLASSROOM</w:t>
      </w:r>
    </w:p>
    <w:p>
      <w:pPr>
        <w:spacing w:after="400" w:before="0" w:line="240" w:lineRule="auto"/>
        <w:ind w:firstLine="0"/>
        <w:jc w:val="center"/>
      </w:pPr>
      <w:r>
        <w:rPr>
          <w:rFonts w:ascii="Times New Roman" w:hAnsi="Times New Roman"/>
        </w:rPr>
      </w:r>
    </w:p>
    <w:p>
      <w:pPr>
        <w:spacing w:after="120" w:before="0" w:line="240" w:lineRule="auto"/>
        <w:ind w:firstLine="0"/>
        <w:jc w:val="center"/>
      </w:pPr>
      <w:r>
        <w:rPr>
          <w:rFonts w:ascii="Times New Roman" w:hAnsi="Times New Roman"/>
        </w:rPr>
      </w:r>
    </w:p>
    <w:p>
      <w:pPr>
        <w:spacing w:after="240" w:before="0" w:line="240" w:lineRule="auto"/>
        <w:ind w:firstLine="0"/>
        <w:jc w:val="center"/>
      </w:pPr>
      <w:r>
        <w:rPr>
          <w:rFonts w:ascii="Times New Roman" w:hAnsi="Times New Roman"/>
        </w:rPr>
      </w:r>
    </w:p>
    <w:p>
      <w:r>
        <w:rPr>
          <w:rFonts w:ascii="Times New Roman" w:hAnsi="Times New Roman"/>
        </w:rPr>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recuperada nas bases abertas pesquisadas,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independente por dois revisores humanos (RH1 e 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equidade/acesso é a dimensão menos frequente (D6 = 38,1%), enquanto abordagens pedagógicas com IA como método também permanecem minoritárias (D5 = 42,9%). Conclusão. Os achados indicam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retrieved from the open databases searched and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independent screening by two human reviewers (RH1 and 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equity/access is the least frequent dimension (D6 = 38.1%), while pedagogical approaches using AI as a method also remain minority (D5 = 42.9%). Conclusion. The findings indicate a norm-practice asymmetry: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ChatGPT (nov. 2022), Gemini e congêneres: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t>No plano normativo, o Brasil acumula camadas que já conformam o uso educacional de IA, ainda que de forma fragmentada: a Lei Geral de Proteção de Dados (Lei n. 13.709/2018), o Marco Civil da Internet (Lei n. 12.965/2014), o Projeto de Lei n. 2.338/2023 (Marco Legal da IA, aprovado no Senado em dezembro de 2024 e em tramitação na Câmara dos Deputados em 2026)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t>Em perspectiva comparada, a União Europeia publicou o AI Act (Regulamento (UE) 2024/1689, JOUE 12 jul 2024, vigor 01 ago 2024, aplicação faseada até 02 ago 2026/2027), adotando arquitetura baseada em risco em quatro níveis (inaceitável, alto, limitado, mínimo) e listando educação e emprego como domínios de alto risco (Anexo III). Portugal se insere nesse enquadramento europeu, em diálogo com o RGPD e com a deontologia profissional.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(2026), em análise documental de 13 documentos + AI Act/UNESCO/LGPD, são consistentes com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sob risco de plágio, alucinação e viés.</w:t>
      </w:r>
    </w:p>
    <w:p>
      <w:pPr>
        <w:spacing w:after="120" w:before="0" w:line="360" w:lineRule="auto"/>
        <w:ind w:firstLine="709"/>
        <w:jc w:val="both"/>
      </w:pPr>
      <w: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recuperada nas bases abertas pesquisadas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t>A contribuição é tripla: (a) estimar, com método reprodutível, a extensão do GAP no corpus recuperado nas bases abertas pesquisadas;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r>
        <w:t>Quanto aos aspectos formais, o manuscrito atende à ABNT NBR 6023 na apresentação das referências e à citação (Autor, data) no corpo do texto, com conferência das citações contra as fontes primárias registrada na auditoria bibliográfica do corpus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menos de 10% tinham políticas formais: e que a validação deve ser dupla: ética e pedagógica, humanocêntrica, com proteção de agência humana, inclusão, equidade e diversidade linguístico-cultural. O horizonte EdGPT: modelos fundacionais refinados com conhecimento pedagógico e de interação professor-estudante: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t>As Diretrizes Curriculares Nacionais (DCNs) do curso de Direito exigem formação crítica, ética, domínio de linguagem jurídica e compreensão dos impactos sociais e tecnológicos sobre a prática profissional. Paula (2026), em perspectiva comparada, converge com esse diagnóstico ao deslocar o foco da ferramenta para competências, ética digital e desenho avaliativo.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t>Brasil. O PL 2.338/2023 estrutura-se em fundamentos (centralidade da pessoa humana, direitos humanos, educação para cidadania: art. 2º XIII, proteção de vulneráveis e de crianças/adolescentes: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25 (avaliação de impacto algorítmico para alto risco) e 45 (Sistema Nacional de Regulação e Governança de IA) completam a arquitetura, tornando relevantes obrigações de governança, rastreabilidade e revisão humana para usos educacionais de alto impacto.</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t>União Europeia e Portugal. O AI Act (2024/1689) combina obrigações ex ante (gestão de risco, governança de dados, documentação, rastreabilidade, supervisão humana) e regime ex post de responsabilidade civil articulado à Diretiva (UE) 2024/2853 e aos direitos nacionais. Em direitos autorais, o Brasil caminha para regime mais intervencionista (transparência de obras no treino, opt-out e remuneração) em comparação com a exceção europeia de mineração de textos e dados (TDM), sujeita a reserva. Portugal deve ser lido nesse enquadramento europeu e no RGPD, sem transplante automático para a sala de aula jurídica brasileira.</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t>Carmo e Alves (2026)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circunscreveram sua operação, especialmente em domínios dogmáticos sensíveis. A coincidência nominal com transparência informacional é apenas aparente: aqui, exige-se auditabilidade do raciocínio, não apenas do resultado. O Supremo Tribunal Federal, na ADI 6.649/DF, reforçou a exigência de explicabilidade em sistemas eletrônicos, fundamento jurisprudencial pertinente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rPr>
        <w:t>O protocolo não foi pré-registrado antes da execução. Para preservar a transparência temporal, eventual depósito no Open Science Framework será identificado como retrospectivo e versionado, acompanhado das strings de busca, critérios de elegibilidade, formulário de extração, emendas e documentos de rastreabilidade disponíveis.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t>Pergunta principal: que evidências, princípios e lacunas a literatura recuperada nas bases abertas pesquisadas, entre 2020 e 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sz w:val="24"/>
        </w:rPr>
        <w:t>A triagem de elegibilidade foi realizada por dois revisores humanos independentes (RH1 e RH2), em instrumentos cegos que declaravam não conter as decisões da outra série. Ambos registraram avaliação pessoal e aplicação dos critérios vigentes aos registros disponibilizados. A concordância interavaliadores foi estimada pelo coeficiente κ de Cohen sobre 30 registros classificados por ambos.</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r>
        <w:t>3.9 Auditabilidade e limites da busca</w:t>
      </w:r>
    </w:p>
    <w:p>
      <w:pPr/>
      <w:r>
        <w:t>O checklist PRISMA-ScR preenchido, as strings de busca executadas em OpenAlex e DOAJ e as razões de exclusão constam do Apêndice A, com o mesmo conteúdo arquivado no depósito de dados da pesquisa (ver seção Disponibilidade de dados).</w:t>
      </w:r>
    </w:p>
    <w:p>
      <w:r>
        <w:t>O pacote suplementar deve reunir checklist PRISMA-ScR, strings integrais, log, matriz de extração versionada e razões de exclusão. Como a execução principal se concentrou em OpenAlex e DOAJ, com limitações de acesso às demais bases, os achados representam o universo recuperado nas bases abertas pesquisadas e não uma cobertura exaustiva da literatura.</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rPr>
          <w:rFonts w:ascii="Times New Roman" w:hAnsi="Times New Roman"/>
        </w:rP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rPr>
          <w:rFonts w:ascii="Times New Roman" w:hAnsi="Times New Roman"/>
        </w:rPr>
      </w:r>
    </w:p>
    <w:p>
      <w:pPr>
        <w:pStyle w:val="Heading2"/>
        <w:spacing w:after="120" w:before="240" w:line="240" w:lineRule="auto"/>
        <w:jc w:val="left"/>
      </w:pPr>
      <w:r>
        <w:rPr>
          <w:rFonts w:ascii="Times New Roman" w:hAnsi="Times New Roman"/>
        </w:rPr>
        <w:t>4.1 Fluxograma PRISMA-ScR e caracterização dos estudos incluídos</w:t>
      </w:r>
    </w:p>
    <w:p>
      <w:r>
        <w:t>Na avaliação final, A01 foi excluído por E2; B02, N03 e N12 por E4; C07, N06, N09, N10 e N16 não foram recuperados por rota legítima durante a execução (E6). O corpus final permaneceu em n = 21.</w:t>
      </w:r>
    </w:p>
    <w:p>
      <w:pPr>
        <w:spacing w:after="120" w:before="0" w:line="360" w:lineRule="auto"/>
        <w:ind w:firstLine="709"/>
        <w:jc w:val="both"/>
      </w:pPr>
      <w:r>
        <w:rPr>
          <w:rFonts w:ascii="Times New Roman" w:hAnsi="Times New Roman"/>
        </w:r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rPr>
          <w:rFonts w:ascii="Times New Roman" w:hAnsi="Times New Roman"/>
        </w:rPr>
      </w:r>
    </w:p>
    <w:p>
      <w:pPr>
        <w:spacing w:before="120" w:after="80"/>
        <w:jc w:val="center"/>
      </w:pPr>
      <w:r>
        <w:rPr>
          <w:rFonts w:ascii="Times New Roman" w:hAnsi="Times New Roman"/>
        </w:rP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rFonts w:ascii="Times New Roman" w:hAnsi="Times New Roman"/>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rPr>
          <w:rFonts w:ascii="Times New Roman" w:hAnsi="Times New Roman"/>
        </w:rPr>
        <w:t>4.2 Frequências observadas das dimensões analíticas e dos eixos temáticos</w:t>
      </w:r>
    </w:p>
    <w:p>
      <w:pPr>
        <w:spacing w:after="120" w:before="0" w:line="360" w:lineRule="auto"/>
        <w:ind w:firstLine="709"/>
        <w:jc w:val="both"/>
      </w:pPr>
      <w:r>
        <w:rPr>
          <w:rFonts w:ascii="Times New Roman" w:hAnsi="Times New Roman"/>
        </w:rP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r>
              <w:t>9</w:t>
            </w:r>
          </w:p>
        </w:tc>
        <w:tc>
          <w:tcPr>
            <w:tcW w:type="dxa" w:w="1191"/>
            <w:vAlign w:val="center"/>
            <w:tcMar>
              <w:top w:w="80" w:type="dxa"/>
              <w:start w:w="90" w:type="dxa"/>
              <w:bottom w:w="80" w:type="dxa"/>
              <w:end w:w="90" w:type="dxa"/>
            </w:tcMar>
          </w:tcPr>
          <w:p>
            <w:r>
              <w:t>42,9%</w:t>
            </w:r>
          </w:p>
        </w:tc>
        <w:tc>
          <w:tcPr>
            <w:tcW w:type="dxa" w:w="4195"/>
            <w:vAlign w:val="center"/>
            <w:tcMar>
              <w:top w:w="80" w:type="dxa"/>
              <w:start w:w="90" w:type="dxa"/>
              <w:bottom w:w="80" w:type="dxa"/>
              <w:end w:w="90" w:type="dxa"/>
            </w:tcMar>
          </w:tcPr>
          <w:p>
            <w:r>
              <w:t>B04, B08, C03, C04, N02, N07, N08, N11, N13</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rPr>
          <w:rFonts w:ascii="Times New Roman" w:hAnsi="Times New Roman"/>
        </w:rP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r>
        <w:rPr>
          <w:rFonts w:ascii="Times New Roman" w:hAnsi="Times New Roman"/>
          <w:sz w:val="24"/>
        </w:rPr>
        <w:t>Correspondência nominal do corpus. Os 21 registros incluídos são: Koroye e Sikpi (2025, B01), Landy (2025, B03), Baboolal-Frank, Papadopoulos e Schoeman (2025, B04), Hyde-Vaamonde e Keller (2025, B05), Prakash G e Nair (2024, B06), Hargreaves (2023, B08), Nunes de Souza (2023, B09), Carmo e Alves (2026, C01), Beuron e Maurmann (2024, C02), Radomysler et al. (2025, C03), Abal e Pilati (2025, C04), Fornasier (2021, C05), Sales (2022, C06), Ryan e Hardie (2024, N02), Abbasi (2025, N04), Curlin IV (2025, N07), Abbasi (2025, N08), Alimardani (2024, N11), Wartenberg (2025, N13), Matthee e Stopforth (2025, N14) e Ramaswamy (2024, N15). Essa enumeração funciona como chave de rastreabilidade entre os IDs usados nas Tabelas 1-2 e as referências bibliográficas; as interpretações temáticas permanecem vinculadas à matriz de extração e não decorrem apenas da presença nominal de uma referência.</w:t>
      </w:r>
    </w:p>
    <w:p>
      <w:r>
        <w:rPr>
          <w:rFonts w:ascii="Times New Roman" w:hAnsi="Times New Roman"/>
          <w:sz w:val="24"/>
        </w:rPr>
        <w:t>Concordância interavaliadores. Nos 30 registros classificados por RH1 e RH2, houve concordância em todas as decisões: 21 registros foram classificados como inclusão por ambos e 9 como exclusão por ambos, sem células discordantes. Assim, Po = 1,000; Pe = (0,700² + 0,300²) = 0,580; e κ de Cohen = 1,000. O coeficiente expressa concordância perfeita entre as classificações registradas e não implica, por si só, validade perfeita das decisões de elegibilidade.</w:t>
      </w:r>
    </w:p>
    <w:p>
      <w:pPr>
        <w:pStyle w:val="Heading2"/>
      </w:pPr>
      <w:r>
        <w:rPr>
          <w:rFonts w:ascii="Times New Roman" w:hAnsi="Times New Roman"/>
        </w:rP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42,9%).</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t>A ampliação do corpus para 21 estudos incorporou evidências internacionais que refinam o mapa de convergências. No plano empírico, o quase-experimento australiano de Alimardani (2024,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são tratados aqui conforme a contextualização bibliográfica reportada por Alimardani (2024, N11), sem contagem autônoma dessa fonte no corpus. Esse achado empírico qualifica a convergência norma-prática: a assimetria não é apenas de escassez de relatos, mas de evidência parcial sobre os efeitos da ferramenta.</w:t>
      </w:r>
    </w:p>
    <w:p>
      <w:pPr>
        <w:spacing w:after="40"/>
      </w:pPr>
      <w: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evidência de que D4 (Ética e responsabilidade) e E3 (Dados/Privacidade) se consolidam como eixos operacionais, não apenas teóricos.</w:t>
      </w:r>
    </w:p>
    <w:p>
      <w:pPr>
        <w:spacing w:after="40"/>
      </w:pPr>
      <w: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marcos internacionais de accountability citados pelos próprios autores, oferecendo critérios avaliáveis para adoção institucional.</w:t>
      </w:r>
    </w:p>
    <w:p>
      <w:pPr>
        <w:pStyle w:val="Heading1"/>
        <w:spacing w:after="120" w:before="240" w:line="240" w:lineRule="auto"/>
        <w:jc w:val="left"/>
      </w:pPr>
      <w:r>
        <w:rPr>
          <w:rFonts w:ascii="Times New Roman" w:hAnsi="Times New Roman"/>
        </w:rPr>
        <w:t>5 DISCUSSÃO</w:t>
      </w:r>
    </w:p>
    <w:p>
      <w:pPr>
        <w:spacing w:after="40"/>
      </w:pPr>
      <w:r>
        <w:rPr>
          <w:rFonts w:ascii="Times New Roman" w:hAnsi="Times New Roman"/>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alternativa concreta à proibição genérica e à adoção acrítica.</w:t>
      </w:r>
    </w:p>
    <w:p>
      <w:pPr>
        <w:spacing w:after="120" w:before="0" w:line="360" w:lineRule="auto"/>
        <w:ind w:firstLine="709"/>
        <w:jc w:val="both"/>
      </w:pPr>
      <w:r>
        <w:t>Quatro proposições orientam a interpretação dos resultados observados:</w:t>
        <w:br/>
        <w:br/>
        <w:t>(1) No corpus recuperado nas bases abertas pesquisadas, a análise normativa (D1 = 95,2%) supera a avaliação pedagógica (D5 = 42,9%), indicando assimetria norma-prática: há abundância de marcos regulatórios e princípios, mas escassez de evidências sobre a incorporação da IAGen nas salas de aula de Direito.</w:t>
        <w:br/>
        <w:br/>
        <w:t>(2) Equidade e acesso à justiça constituem a dimensão menos frequente (D6 = 38,1%), mesmo quando a revisão de escopo concorrente de Lorteau &amp; Sarro (2026): com 82 obras de 26 jurisdições: aponta o mesmo padrão temático, o que sugere lacuna relevante no corpus analisado e em literatura contextual comparável.</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rFonts w:ascii="Times New Roman" w:hAnsi="Times New Roman"/>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rFonts w:ascii="Times New Roman" w:hAnsi="Times New Roman"/>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indicam a assimetria norma-prática proposta: estudos normativos (20/21) não demonstram, por si, eficácia pedagógica. Nove dos 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rFonts w:ascii="Times New Roman" w:hAnsi="Times New Roman"/>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rPr>
          <w:rFonts w:ascii="Times New Roman" w:hAnsi="Times New Roman"/>
        </w:rP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rPr>
          <w:rFonts w:ascii="Times New Roman" w:hAnsi="Times New Roman"/>
        </w:rP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r>
        <w:t>5.4 Contribuição e originalidade</w:t>
      </w:r>
    </w:p>
    <w:p>
      <w:r>
        <w:t>A contribuição deste estudo é tripla e mensurável. Primeiro, demonstra, com método reprodutível e corpus auditável (log e matriz), que o GAP de equidade algorítmica na educação jurídica brasileira não é retórico: a dimensão equidade/acesso (D6) é a de menor incidência no corpus (38,1%), enquanto os marcos normativos (D1 = 95,2%) e os fundamentos éticos (E1 = 95,2%) concentram a literatura — distância que permanece como agenda crítica. Segundo, oferece matriz comparativa normativa Brasil × UE × Portugal × Alemanha × EUA × UNESCO que permite situar a produção nacional sem transplante acrítico de soluções estrangeiras. Terceiro, propõe princípios operacionais para o Ensino Jurídico — entre eles a Transparência Hermenêutica — derivados dos achados, não de prescrição a priori. Essa contribuição é delimitada: trata-se de revisão de escopo sobre o campo 2020–2026, não de avaliação de eficácia de intervenções, o que circunscreve a generalização dos resultados ao mapeamento e à agenda daí decorrente.</w:t>
      </w:r>
    </w:p>
    <w:p>
      <w:r>
        <w:t>A Tabela 1 situa a contribuição deste estudo em relação a iniciativas internacionais presentes no corpus, explicitando o que cada uma mede e o que a perspectiva brasileira adiciona ao debate.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Referência/país</w:t>
            </w:r>
          </w:p>
        </w:tc>
        <w:tc>
          <w:tcPr>
            <w:tcW w:type="dxa" w:w="2268"/>
          </w:tcPr>
          <w:p>
            <w:r>
              <w:t>Foco</w:t>
            </w:r>
          </w:p>
        </w:tc>
        <w:tc>
          <w:tcPr>
            <w:tcW w:type="dxa" w:w="2268"/>
          </w:tcPr>
          <w:p>
            <w:r>
              <w:t>Evidência</w:t>
            </w:r>
          </w:p>
        </w:tc>
        <w:tc>
          <w:tcPr>
            <w:tcW w:type="dxa" w:w="2268"/>
          </w:tcPr>
          <w:p>
            <w:r>
              <w:t>Contribuição adicional deste estudo</w:t>
            </w:r>
          </w:p>
        </w:tc>
      </w:tr>
      <w:tr>
        <w:tc>
          <w:tcPr>
            <w:tcW w:type="dxa" w:w="2268"/>
          </w:tcPr>
          <w:p>
            <w:r>
              <w:t>Lorteau &amp; Sarro (2026) — Canadá</w:t>
            </w:r>
          </w:p>
        </w:tc>
        <w:tc>
          <w:tcPr>
            <w:tcW w:type="dxa" w:w="2268"/>
          </w:tcPr>
          <w:p>
            <w:r>
              <w:t>Scoping review em educação jurídica (IA)</w:t>
            </w:r>
          </w:p>
        </w:tc>
        <w:tc>
          <w:tcPr>
            <w:tcW w:type="dxa" w:w="2268"/>
          </w:tcPr>
          <w:p>
            <w:r>
              <w:t>Revisão de literatura internacional</w:t>
            </w:r>
          </w:p>
        </w:tc>
        <w:tc>
          <w:tcPr>
            <w:tcW w:type="dxa" w:w="2268"/>
          </w:tcPr>
          <w:p>
            <w:r>
              <w:t>Perspectiva brasileira em corpus 2020–2026 com dimensões D1–D6</w:t>
            </w:r>
          </w:p>
        </w:tc>
      </w:tr>
      <w:tr>
        <w:tc>
          <w:tcPr>
            <w:tcW w:type="dxa" w:w="2268"/>
          </w:tcPr>
          <w:p>
            <w:r>
              <w:t>Schrepel (2026) — FR/NL</w:t>
            </w:r>
          </w:p>
        </w:tc>
        <w:tc>
          <w:tcPr>
            <w:tcW w:type="dxa" w:w="2268"/>
          </w:tcPr>
          <w:p>
            <w:r>
              <w:t>Experimento de 2 anos com ChatGPT</w:t>
            </w:r>
          </w:p>
        </w:tc>
        <w:tc>
          <w:tcPr>
            <w:tcW w:type="dxa" w:w="2268"/>
          </w:tcPr>
          <w:p>
            <w:r>
              <w:t>Estudo longitudinal de uso</w:t>
            </w:r>
          </w:p>
        </w:tc>
        <w:tc>
          <w:tcPr>
            <w:tcW w:type="dxa" w:w="2268"/>
          </w:tcPr>
          <w:p>
            <w:r>
              <w:t>Matriz comparativa normativa BR×UE×PT×DE×EUA×UNESCO</w:t>
            </w:r>
          </w:p>
        </w:tc>
      </w:tr>
      <w:tr>
        <w:tc>
          <w:tcPr>
            <w:tcW w:type="dxa" w:w="2268"/>
          </w:tcPr>
          <w:p>
            <w:r>
              <w:t>Matthee &amp; Stopforth (2025) — África do Sul</w:t>
            </w:r>
          </w:p>
        </w:tc>
        <w:tc>
          <w:tcPr>
            <w:tcW w:type="dxa" w:w="2268"/>
          </w:tcPr>
          <w:p>
            <w:r>
              <w:t>Formação ética em IA para futuros advogados</w:t>
            </w:r>
          </w:p>
        </w:tc>
        <w:tc>
          <w:tcPr>
            <w:tcW w:type="dxa" w:w="2268"/>
          </w:tcPr>
          <w:p>
            <w:r>
              <w:t>Estudo de caso</w:t>
            </w:r>
          </w:p>
        </w:tc>
        <w:tc>
          <w:tcPr>
            <w:tcW w:type="dxa" w:w="2268"/>
          </w:tcPr>
          <w:p>
            <w:r>
              <w:t>Dimensão de equidade algorítmica (D6) como categoria de análise</w:t>
            </w:r>
          </w:p>
        </w:tc>
      </w:tr>
      <w:tr>
        <w:tc>
          <w:tcPr>
            <w:tcW w:type="dxa" w:w="2268"/>
          </w:tcPr>
          <w:p>
            <w:r>
              <w:t>Ramaswamy (2024) — Paquistão</w:t>
            </w:r>
          </w:p>
        </w:tc>
        <w:tc>
          <w:tcPr>
            <w:tcW w:type="dxa" w:w="2268"/>
          </w:tcPr>
          <w:p>
            <w:r>
              <w:t>Adequação curricular à IA na prática jurídica</w:t>
            </w:r>
          </w:p>
        </w:tc>
        <w:tc>
          <w:tcPr>
            <w:tcW w:type="dxa" w:w="2268"/>
          </w:tcPr>
          <w:p>
            <w:r>
              <w:t>Análise documental</w:t>
            </w:r>
          </w:p>
        </w:tc>
        <w:tc>
          <w:tcPr>
            <w:tcW w:type="dxa" w:w="2268"/>
          </w:tcPr>
          <w:p>
            <w:r>
              <w:t>Princípios operacionais (Transparência Hermenêutica)</w:t>
            </w:r>
          </w:p>
        </w:tc>
      </w:tr>
    </w:tbl>
    <w:p>
      <w:r>
        <w:t>5.5 Limitações</w:t>
      </w:r>
    </w:p>
    <w:p>
      <w:r>
        <w:t>Os resultados devem ser interpretados à luz de cinco limitações. (i) O recorte temporal 2020–2026 e as bases OpenAlex/DOAJ circunscrevem a cobertura, que não esgota literatura cinzenta nem bases jurídicas especializadas. (ii) A revisão é de escopo: mapeia, descreve e identifica lacunas, mas não avalia a eficácia de intervenções pedagógicas. (iii) A dimensão D6 (equidade) emerge como a menos frequente; sua leitura como lacuna pressupõe o marco analítico adotado e pode ser contestada por estudos que não a tematizem explicitamente. (iv) A concordância humana RH1/RH2 (κ=1,000), embora rigorosa, reflete um par de revisores; a replicação por outras duplas é recomendada. (v) A generalização externa limita-se à educação jurídica brasileira em perspectiva comparada, sem extrapolação automática para outras áreas do Direito ou sistemas educacionais. Essas limitações, no entanto, não invalidam o mapeamento auditável produzido: delimitam-no.</w:t>
      </w:r>
    </w:p>
    <w:p>
      <w:pPr>
        <w:pStyle w:val="Heading1"/>
        <w:spacing w:after="120" w:before="240" w:line="240" w:lineRule="auto"/>
        <w:jc w:val="left"/>
      </w:pPr>
      <w:r>
        <w:rPr>
          <w:rFonts w:ascii="Times New Roman" w:hAnsi="Times New Roman"/>
        </w:rPr>
        <w:t>6 CONCLUSÃO</w:t>
      </w:r>
    </w:p>
    <w:p>
      <w:pPr>
        <w:spacing w:after="120" w:before="0" w:line="360" w:lineRule="auto"/>
        <w:ind w:firstLine="709"/>
        <w:jc w:val="both"/>
      </w:pPr>
      <w:r>
        <w:t>A revisão de escopo, executada com fonte de dados reais e auditável (log e matriz), oferece achados descritivos delimitados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(42,9%); (v) formação docente como recomendação emergente (52,4%). As limitações documentadas (SciELO bloqueada, preprints, 5 paywalls internacionais não recuperados: C07, N06, N09, N10, N16: e 2 candidatos 2026 com paywall: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r>
        <w:t>No campo específico da educação jurídica brasileira com perspectiva comparada, esta é, até o conhecimento dos autores, a primeira revisão de escopo 2020–2026 a sustentar a análise em séries humanas anônimas e auditáveis (RH1/RH2, κ=1,000) com corpus aberto — afirmação que permanece sujeita a verificação independente, dado o dinamismo da literatura. A novidade, portanto, é de método e de recorte, não de vanguarda absoluta: incorpora-se ao acervo internacional em vez de confrontá-lo.</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revisão e edição.</w:t>
      </w:r>
    </w:p>
    <w:p>
      <w:pPr>
        <w:spacing w:after="120" w:before="0" w:line="360" w:lineRule="auto"/>
        <w:ind w:firstLine="0"/>
        <w:jc w:val="both"/>
      </w:pPr>
      <w:r>
        <w:t>Disponibilidade de dados: o protocolo não foi pré-registrado. O pacote de rastreabilidade da revisão (matriz de extração, log de execução real, errata da concordância RH1/RH2 com κ=1,000, suplemento PRISMA-ScR, auditorias e instrumentos de triagem) está depositado em acesso aberto no OSF (https://osf.io/t7env/), com versão de preprint arquivada com DOI 10.5281/zenodo.22870968 (CC-BY-4.0), consultados em 23/09/2026. As matrizes e a concordância humana foram anonimizadas para o depósito público, preservando a integridade dos registros originais documentados no log.</w:t>
      </w:r>
    </w:p>
    <w:p>
      <w:pPr>
        <w:spacing w:after="120" w:before="0" w:line="360" w:lineRule="auto"/>
        <w:ind w:firstLine="0"/>
        <w:jc w:val="both"/>
      </w:pPr>
      <w:r>
        <w:rPr>
          <w:rFonts w:ascii="Times New Roman" w:hAnsi="Times New Roman"/>
          <w:sz w:val="24"/>
        </w:rPr>
        <w:t>Uso de inteligência artificial: ferramentas de IA generativa foram utilizadas como apoio técnico em etapas delimitadas de organização, auditoria bibliográfica e edição textual. A triagem de elegibilidade foi realizada por dois revisores humanos independentes (RH1 e RH2), e as decisões de inclusão/exclusão permaneceram sob responsabilidade humana.</w:t>
      </w:r>
    </w:p>
    <w:p>
      <w:pPr>
        <w:spacing w:after="120" w:before="0" w:line="360" w:lineRule="auto"/>
        <w:ind w:firstLine="0"/>
        <w:jc w:val="both"/>
      </w:pPr>
      <w:r>
        <w:rPr>
          <w:rFonts w:ascii="Times New Roman" w:hAnsi="Times New Roman"/>
        </w:rPr>
        <w:t>Autoria e afiliação: devem constar apenas na folha de identificação separada, conforme as instruções atuais do periódico-alvo.</w:t>
      </w:r>
    </w:p>
    <w:p>
      <w:r>
        <w:rPr>
          <w:rFonts w:ascii="Times New Roman" w:hAnsi="Times New Roman"/>
        </w:rPr>
        <w:t>Nota de delimitação bibliográfica. O corpus analítico é composto pelos 21 estudos identificados na subseção correspondente das referências. Referências metodológicas, normativas e contextuais sustentam o desenho e a discussão, mas não integram os denominadores das sínteses. Lorteau e Sarro e Schrepel permanecem como literatura contextual da atualização de 2026 e não integram n = 21.</w:t>
      </w:r>
    </w:p>
    <w:p>
      <w:pPr>
        <w:pStyle w:val="Heading1"/>
        <w:spacing w:after="20" w:before="240" w:line="240" w:lineRule="auto"/>
        <w:jc w:val="left"/>
      </w:pPr>
      <w:r>
        <w:rPr>
          <w:rFonts w:ascii="Times New Roman" w:hAnsi="Times New Roman"/>
          <w:sz w:val="20"/>
        </w:rPr>
        <w:t>REFERÊNCIAS</w:t>
      </w:r>
    </w:p>
    <w:p>
      <w:pPr>
        <w:spacing w:after="0" w:line="240" w:lineRule="auto" w:before="0"/>
        <w:jc w:val="left"/>
      </w:pPr>
      <w:r>
        <w:rPr>
          <w:sz w:val="20"/>
        </w:rPr>
        <w:t>BRASIL. Lei n. 13.709, de 14 de agosto de 2018. Lei Geral de Proteção de Dados Pessoais. Disponível em: https://www.planalto.gov.br/ccivil_03/_ato2015-2018/2018/lei/l13709compilado.htm. Acesso em: 20 set. 2026.</w:t>
      </w:r>
    </w:p>
    <w:p>
      <w:pPr>
        <w:spacing w:before="0" w:after="0" w:line="240" w:lineRule="auto"/>
      </w:pPr>
      <w:r>
        <w:rPr>
          <w:sz w:val="20"/>
        </w:rPr>
        <w:t>BRASIL. Lei n. 12.965, de 23 de abril de 2014. Estabelece princípios, garantias, direitos e deveres para o uso da Internet no Brasil (Marco Civil da Internet). Disponível em: https://www.planalto.gov.br/ccivil_03/_ato2011-2014/2014/lei/l12965.htm. Acesso em: 20 set. 2026.</w:t>
      </w:r>
    </w:p>
    <w:p>
      <w:pPr>
        <w:spacing w:after="0" w:line="240" w:lineRule="auto" w:before="0"/>
        <w:jc w:val="left"/>
      </w:pPr>
      <w:r>
        <w:rPr>
          <w:sz w:val="20"/>
        </w:rPr>
        <w:t>BRASIL. Senado Federal. Projeto de Lei n. 2.338, de 2023. Dispõe sobre o uso da inteligência artificial. Situação legislativa: aprovado no Senado Federal em dezembro de 2024 e remetido à Câmara dos Deputados; acompanhamento legislativo consultado em 18 set. 2026. Disponível em: https://www.camara.leg.br/proposicoesWeb/fichadetramitacao/?idProposicao=2487262. Acesso em: 20 set. 2026.</w:t>
      </w:r>
    </w:p>
    <w:p>
      <w:pPr>
        <w:spacing w:after="0" w:line="240" w:lineRule="auto" w:before="0"/>
        <w:jc w:val="left"/>
      </w:pPr>
      <w:r>
        <w:rPr>
          <w:sz w:val="20"/>
        </w:rPr>
        <w:t>BRASIL. Conselho Nacional de Justiça. Resolução n. 615, de 11 de março de 2025. Estabelece diretrizes para o desenvolvimento, utilização e governança de soluções de inteligência artificial no Poder Judiciário. Disponível em: https://atos.cnj.jus.br/atos/detalhar/6001. Acesso em: 20 set. 2026.</w:t>
      </w:r>
    </w:p>
    <w:p>
      <w:pPr>
        <w:spacing w:before="0" w:after="0" w:line="240" w:lineRule="auto"/>
      </w:pPr>
      <w:r>
        <w:rPr>
          <w:sz w:val="20"/>
        </w:rPr>
        <w:t>BRASIL. Constituição (1988). Constituição da República Federativa do Brasil de 1988. Disponível em: https://www.planalto.gov.br/ccivil_03/constituicao/constituicao.htm. Acesso em: 20 set. 2026.</w:t>
      </w:r>
    </w:p>
    <w:p>
      <w:pPr>
        <w:spacing w:before="0" w:after="0" w:line="240" w:lineRule="auto"/>
      </w:pPr>
      <w:r>
        <w:rPr>
          <w:sz w:val="20"/>
        </w:rPr>
        <w:t>BRASIL. Conselho Nacional de Educação. Câmara de Educação Superior. Resolução CNE/CES n. 5, de 17 de dezembro de 2018. Institui as Diretrizes Curriculares Nacionais do Curso de Graduação em Direito. Disponível em: http://portal.mec.gov.br/index.php?option=com_docman&amp;view=download&amp;alias=104111-rces005-18&amp;category_slug=dezembro-2018-pdf&amp;Itemid=30192. Acesso em: 20 set. 2026.</w:t>
      </w:r>
    </w:p>
    <w:p>
      <w:pPr>
        <w:spacing w:before="0" w:after="0" w:line="240" w:lineRule="auto"/>
      </w:pPr>
      <w:r>
        <w:rPr>
          <w:sz w:val="20"/>
        </w:rPr>
        <w:t>BRASIL. Supremo Tribunal Federal. Ação Direta de Inconstitucionalidade n. 6.649/DF. Informações processuais e decisão. Disponível em: https://portal.stf.jus.br/processos/listarProcessos.asp?classe=ADI&amp;numeroProcesso=6649. Acesso em: 20 set. 2026.</w:t>
      </w:r>
    </w:p>
    <w:p>
      <w:pPr>
        <w:spacing w:before="0" w:after="0" w:line="240" w:lineRule="auto"/>
      </w:pPr>
      <w:r>
        <w:rPr>
          <w:sz w:val="20"/>
        </w:rPr>
        <w:t>ESTADOS UNIDOS. United States District Court, Southern District of New York. Mata v. Avianca, Inc., No. 22-cv-1461 (PKC), Opinion and Order, 22 jun. 2023. Disponível em: https://www.nysd.uscourts.gov/sites/default/files/2023-06/Mata%20v.%20Avianca%20Opinion%20and%20Order.pdf. Acesso em: 20 set. 2026.</w:t>
      </w:r>
    </w:p>
    <w:p>
      <w:pPr>
        <w:spacing w:after="0" w:line="240" w:lineRule="auto" w:before="0"/>
        <w:jc w:val="left"/>
      </w:pPr>
      <w:r>
        <w:rPr>
          <w:sz w:val="20"/>
        </w:rPr>
        <w:t>PAGE, Matthew J. et al. The PRISMA 2020 statement: an updated guideline for reporting systematic reviews. BMJ, v. 372, n. 71, 2021. DOI: 10.1136/bmj.n71. Disponível em: https://doi.org/10.1136/bmj.n71. Acesso em: 20 set. 2026.</w:t>
      </w:r>
    </w:p>
    <w:p>
      <w:pPr>
        <w:spacing w:after="0" w:line="240" w:lineRule="auto" w:before="0"/>
        <w:jc w:val="left"/>
      </w:pPr>
      <w:r>
        <w:rPr>
          <w:sz w:val="20"/>
        </w:rPr>
        <w:t>PETERS, Micah D. J. et al. Updated methodological guidance for the conduct of scoping reviews. JBI Evidence Synthesis, v. 18, n. 10, p. 2119-2126, 2020. DOI: 10.11124/JBIES-20-00167. Disponível em: https://doi.org/10.11124/JBIES-20-00167. Acesso em: 20 set. 2026.</w:t>
      </w:r>
    </w:p>
    <w:p>
      <w:pPr>
        <w:spacing w:after="0" w:line="240" w:lineRule="auto" w:before="0"/>
        <w:jc w:val="left"/>
      </w:pPr>
      <w:r>
        <w:rPr>
          <w:sz w:val="20"/>
        </w:rPr>
        <w:t>TRICCO, Andrea C. et al. PRISMA Extension for Scoping Reviews (PRISMA-ScR): checklist and explanation. Annals of Internal Medicine, v. 169, p. 467-473, 2018 DOI: 10.7326/M18-0850. Disponível em: https://doi.org/10.7326/M18-0850. Acesso em: 20 set. 2026.</w:t>
      </w:r>
    </w:p>
    <w:p>
      <w:pPr>
        <w:spacing w:after="0" w:line="240" w:lineRule="auto" w:before="0"/>
        <w:jc w:val="left"/>
      </w:pPr>
      <w:r>
        <w:rPr>
          <w:sz w:val="20"/>
        </w:rPr>
        <w:t>UNESCO; MIAO, Fengchun; HOLMES, Wayne. Guidance for generative AI in education and research. Paris: UNESCO, 2023. DOI: 10.54675/EWZM9535. Disponível em: https://doi.org/10.54675/EWZM9535. Acesso em: 20 set. 2026.</w:t>
      </w:r>
    </w:p>
    <w:p>
      <w:pPr>
        <w:spacing w:after="0" w:line="240" w:lineRule="auto" w:before="0"/>
        <w:jc w:val="left"/>
      </w:pPr>
      <w:r>
        <w:rPr>
          <w:sz w:val="20"/>
        </w:rPr>
        <w:t>UNIÃO EUROPEIA. Regulamento (UE) 2024/1689 do Parlamento Europeu e do Conselho, de 13 de junho de 2024, que estabelece regras harmonizadas em matéria de inteligência artificial. Disponível em: https://eur-lex.europa.eu/eli/reg/2024/1689/oj/por. Acesso em: 20 set. 2026.</w:t>
      </w:r>
    </w:p>
    <w:p>
      <w:pPr>
        <w:spacing w:before="0" w:after="0" w:line="240" w:lineRule="auto"/>
      </w:pPr>
      <w:r>
        <w:rPr>
          <w:sz w:val="20"/>
        </w:rPr>
        <w:t>UNIÃO EUROPEIA. Diretiva (UE) 2024/2853 do Parlamento Europeu e do Conselho, de 23 de outubro de 2024, relativa à responsabilidade decorrente dos produtos defeituosos. Disponível em: https://eur-lex.europa.eu/eli/dir/2024/2853/oj/por. Acesso em: 20 set. 2026.</w:t>
      </w:r>
    </w:p>
    <w:p>
      <w:pPr>
        <w:spacing w:after="0" w:before="0" w:line="240" w:lineRule="auto"/>
      </w:pPr>
      <w:r>
        <w:rPr>
          <w:sz w:val="20"/>
        </w:rPr>
        <w:t>COHEN, Jacob. A coefficient of agreement for nominal scales. Educational and Psychological Measurement, v. 20, n. 1, p. 37-46, 1960. DOI: 10.1177/001316446002000104. Disponível em: https://doi.org/10.1177/001316446002000104. Acesso em: 20 set. 2026.</w:t>
      </w:r>
    </w:p>
    <w:p>
      <w:pPr>
        <w:spacing w:after="0" w:before="0" w:line="240" w:lineRule="auto"/>
      </w:pPr>
      <w:r>
        <w:rPr>
          <w:rFonts w:ascii="Times New Roman" w:hAnsi="Times New Roman"/>
          <w:b/>
          <w:sz w:val="20"/>
        </w:rPr>
        <w:t>Referências de apoio metodológico, normativo e contextual: fora do corpus analítico</w:t>
      </w:r>
    </w:p>
    <w:p>
      <w:pPr>
        <w:spacing w:after="0" w:line="240" w:lineRule="auto" w:before="0"/>
        <w:jc w:val="left"/>
      </w:pPr>
      <w:r>
        <w:rPr>
          <w:sz w:val="20"/>
        </w:rPr>
        <w:t>VALENCIA JIMÉNEZ, Carla Alessandra; BELTRÁN PACHECO, Jorge Alberto. Dilemas éticos de la Inteligencia Artificial en la práctica legal: Revisión Sistemática. Revista Tribunal, v. 5, n. 12, p. 748-766, 2025. DOI: 10.59659/revistatribunal.v5i12.235. Disponível em: https://doi.org/10.59659/revistatribunal.v5i12.235. Acesso em: 20 set. 2026.</w:t>
      </w:r>
    </w:p>
    <w:p>
      <w:pPr>
        <w:spacing w:after="0" w:line="240" w:lineRule="auto" w:before="0"/>
        <w:jc w:val="left"/>
      </w:pPr>
      <w:r>
        <w:rPr>
          <w:sz w:val="20"/>
        </w:rPr>
        <w:t>PAULA, Gil César Costa de. Inteligência artificial generativa: desafios para o ensino jurídico superior brasileiro. Revista OWL, v. 4, n. 5, p. 1-22, 2026. DOI: 10.5281/zenodo.19966396. Disponível em: https://doi.org/10.5281/zenodo.19966396. Acesso em: 20 set. 2026.</w:t>
      </w:r>
    </w:p>
    <w:p>
      <w:pPr>
        <w:spacing w:after="0" w:before="0" w:line="240" w:lineRule="auto"/>
      </w:pPr>
      <w:r>
        <w:rPr>
          <w:rFonts w:ascii="Times New Roman" w:hAnsi="Times New Roman"/>
          <w:b/>
          <w:sz w:val="20"/>
        </w:rPr>
        <w:t>Estudos incluídos no corpus analítico (n = 21)</w:t>
      </w:r>
    </w:p>
    <w:p>
      <w:pPr>
        <w:spacing w:after="0" w:before="0" w:line="240" w:lineRule="auto"/>
      </w:pPr>
      <w:r>
        <w:rPr>
          <w:sz w:val="20"/>
        </w:rPr>
        <w:t>KOROYE, Tamarakemiebi; SIKPI, Donald. GenAI as Whetstone: A Socratic Framework for Sharpening Critical Thinking in Legal Education. Law, Technology and Humans, v. 7, n. 3, p. 14-32, 2025. DOI: 10.5204/lthj.4053. Disponível em: https://doi.org/10.5204/lthj.4053. Acesso em: 20 set. 2026.</w:t>
      </w:r>
    </w:p>
    <w:p>
      <w:pPr>
        <w:spacing w:after="0" w:before="0" w:line="240" w:lineRule="auto"/>
      </w:pPr>
      <w:r>
        <w:rPr>
          <w:sz w:val="20"/>
        </w:rPr>
        <w:t>LANDY, Nicole. Early PLT Student Perceptions of the Integration of Generative Artificial Intelligence in Legal Education. Law, Technology and Humans, v. 7, n. 3, p. 33-51, 2025. DOI: 10.5204/lthj.4031. Disponível em: https://doi.org/10.5204/lthj.4031. Acesso em: 20 set. 2026.</w:t>
      </w:r>
    </w:p>
    <w:p>
      <w:pPr>
        <w:spacing w:after="0" w:before="0" w:line="240" w:lineRule="auto"/>
      </w:pPr>
      <w:r>
        <w:rPr>
          <w:sz w:val="20"/>
        </w:rPr>
        <w:t>BABOOLAL-FRANK, Rashri; PAPADOPOULOS, Sylvia; SCHOEMAN, Elsabe. Humans v machine: the AFSA-UP moot court experiment with ChatGPT 4.0 (April 2024). De Jure Law Journal, v. 58, n. 1, p. 282-301, 2025. DOI: 10.17159/2225-7160/2025/v58a15. Disponível em: https://doi.org/10.17159/2225-7160/2025/v58a15. Acesso em: 20 set. 2026.</w:t>
      </w:r>
    </w:p>
    <w:p>
      <w:pPr>
        <w:spacing w:after="0" w:before="0" w:line="240" w:lineRule="auto"/>
      </w:pPr>
      <w:r>
        <w:rPr>
          <w:sz w:val="20"/>
        </w:rPr>
        <w:t>HYDE-VAAMONDE, Cari; KELLER, Anat. Testing the Frontier: Generative AI in Legal Education and Beyond. Law, Technology and Humans, v. 7, n. 3, p. 52-61, 2025. DOI: 10.5204/lthj.4037. Disponível em: https://doi.org/10.5204/lthj.4037. Acesso em: 20 set. 2026.</w:t>
      </w:r>
    </w:p>
    <w:p>
      <w:pPr>
        <w:spacing w:after="0" w:before="0" w:line="240" w:lineRule="auto"/>
      </w:pPr>
      <w:r>
        <w:rPr>
          <w:sz w:val="20"/>
        </w:rPr>
        <w:t>PRAKASH G, Aswathy; NAIR, Vishnu. Integrating Generative AI into Legal Education: From Casebooks to Code, Opportunities and Challenges. Law, Technology and Humans, v. 6, n. 3, p. 60-79, 2024. DOI: 10.5204/lthj.3640. Disponível em: https://doi.org/10.5204/lthj.3640. Acesso em: 20 set. 2026.</w:t>
      </w:r>
    </w:p>
    <w:p>
      <w:pPr>
        <w:spacing w:after="0" w:before="0" w:line="240" w:lineRule="auto"/>
      </w:pPr>
      <w:r>
        <w:rPr>
          <w:sz w:val="20"/>
        </w:rPr>
        <w:t>HARGREAVES, Stuart. ‘Words are Flowing Out Like Endless Rain Into a Paper Cup’: ChatGPT &amp; Law School Assessments. Legal Education Review, v. 33, n. 1, p. 69-105, 2023. DOI: 10.53300/001c.83297. Disponível em: https://doi.org/10.53300/001c.83297. Acesso em: 20 set. 2026.</w:t>
      </w:r>
    </w:p>
    <w:p>
      <w:pPr>
        <w:spacing w:after="0" w:before="0" w:line="240" w:lineRule="auto"/>
      </w:pPr>
      <w:r>
        <w:rPr>
          <w:sz w:val="20"/>
        </w:rPr>
        <w:t>SOUZA, Eduardo Nunes de. Ensino jurídico e inteligência artificial: primeiro esboço de uma abordagem civil-constitucional. Pensar, Fortaleza, v. 28, n. 2, p. 1-22, 2023. DOI: 10.5020/2317-2150.2023.14450. Disponível em: https://doi.org/10.5020/2317-2150.2023.14450. Acesso em: 20 set. 2026.</w:t>
      </w:r>
    </w:p>
    <w:p>
      <w:pPr>
        <w:spacing w:after="0" w:before="0" w:line="240" w:lineRule="auto"/>
      </w:pPr>
      <w:r>
        <w:rPr>
          <w:sz w:val="20"/>
        </w:rPr>
        <w:t>CARMO, Lisbino Geraldo Miranda do; ALVES, Leonardo da Silva. Diretrizes éticas para implementação de inteligência artificial no ensino jurídico-tributário brasileiro: análise documental dos marcos normativos e recomendatórios (2020-2025). Revista Inclusiones, v. 13, n. 2, e3840, 2026. DOI: 10.58210/rie3840. Disponível em: https://doi.org/10.58210/rie3840. Acesso em: 20 set. 2026.</w:t>
      </w:r>
    </w:p>
    <w:p>
      <w:pPr>
        <w:spacing w:after="0" w:before="0" w:line="240" w:lineRule="auto"/>
      </w:pPr>
      <w:r>
        <w:rPr>
          <w:sz w:val="20"/>
        </w:rPr>
        <w:t>BEURON, Bruno Mello Corrêa de Barros; MAURMANN, Andressa Silveira Viana. Inteligência artificial e Direito Digital: as novas metodologias no ensino jurídico e os desafios éticos para construção do aprendizado e do desenvolvimento crítico. In: 7º Congresso Internacional de Direito e Contemporaneidade: mídias e direitos da sociedade em rede. Santa Maria: UFSM, 2024. Disponível em: https://www.ufsm.br/cursos/pos-graduacao/santa-maria/ppgd/congresso-de-direito-7a-edicao. Acesso em: 20 set. 2026.</w:t>
      </w:r>
    </w:p>
    <w:p>
      <w:pPr>
        <w:spacing w:after="0" w:before="0" w:line="240" w:lineRule="auto"/>
      </w:pPr>
      <w:r>
        <w:rPr>
          <w:sz w:val="20"/>
        </w:rPr>
        <w:t>RADOMYSLER, Clio Nudel; ARAUJO, Carla Renata Barbosa; COSTA, Enya Carolina Silva da; LEMES, Maurício Buosi; SOSTER, Tatiana Sansone. Inteligência artificial generativa na educação judicial: desafios e boas práticas. THEMIS: Revista da Esmec, v. 23, n. 1, p. 17-41, 2025. DOI: 10.56256/themis.v23i1.1110. Disponível em: https://doi.org/10.56256/themis.v23i1.1110. Acesso em: 20 set. 2026.</w:t>
      </w:r>
    </w:p>
    <w:p>
      <w:pPr>
        <w:spacing w:after="0" w:before="0" w:line="240" w:lineRule="auto"/>
      </w:pPr>
      <w:r>
        <w:rPr>
          <w:sz w:val="20"/>
        </w:rPr>
        <w:t>ABAL, Felipe Cittolin; PILATI, Adriana Fasolo. Inteligência artificial no ensino jurídico: experiências com GPTs personalizados. International Journal of Digital Law, v. 6, e609, 2025. DOI: 10.47975/ijdl.v.6.1302. Disponível em: https://doi.org/10.47975/ijdl.v.6.1302. Acesso em: 20 set. 2026.</w:t>
      </w:r>
    </w:p>
    <w:p>
      <w:pPr>
        <w:spacing w:after="0" w:before="0" w:line="240" w:lineRule="auto"/>
      </w:pPr>
      <w:r>
        <w:rPr>
          <w:sz w:val="20"/>
        </w:rPr>
        <w:t>FORNASIER, Mateus de Oliveira. Legal Education in the 21st Century and the Artificial Intelligence. Revista Opinião Jurídica (Fortaleza), v. 19, n. 31, p. 1-32, 2021. DOI: 10.12662/2447-6641oj.v19i31.p1-32.2021. Disponível em: https://doi.org/10.12662/2447-6641oj.v19i31.p1-32.2021. Acesso em: 20 set. 2026.</w:t>
      </w:r>
    </w:p>
    <w:p>
      <w:pPr>
        <w:spacing w:after="0" w:before="0" w:line="240" w:lineRule="auto"/>
      </w:pPr>
      <w:r>
        <w:rPr>
          <w:sz w:val="20"/>
        </w:rPr>
        <w:t>SALES, Ana Débora Rocha. As metodologias ativas no ensino jurídico: aplicabilidade na inteligência artificial. Revista de Argumentação e Hermenêutica Jurídica, v. 8, n. 1, p. 34-56, 2022. DOI: 10.26668/IndexLawJournals/2526-0103/2022.v8i1.8937. Disponível em: https://doi.org/10.26668/IndexLawJournals/2526-0103/2022.v8i1.8937. Acesso em: 20 set. 2026.</w:t>
      </w:r>
    </w:p>
    <w:p>
      <w:pPr>
        <w:spacing w:after="0" w:before="0" w:line="240" w:lineRule="auto"/>
      </w:pPr>
      <w:r>
        <w:rPr>
          <w:sz w:val="20"/>
        </w:rPr>
        <w:t>RYAN, Francine; HARDIE, Liz. ChatGPT, I Have a Legal Question? The Impact of Generative AI Tools on Law Clinics and Access to Justice. International Journal of Clinical Legal Education, v. 31, n. 1, 2024. DOI: 10.19164/ijcle.v31i1.1401. Disponível em: https://doi.org/10.19164/ijcle.v31i1.1401. Acesso em: 20 set. 2026.</w:t>
      </w:r>
    </w:p>
    <w:p>
      <w:pPr>
        <w:spacing w:after="0" w:before="0" w:line="240" w:lineRule="auto"/>
      </w:pPr>
      <w:r>
        <w:rPr>
          <w:sz w:val="20"/>
        </w:rPr>
        <w:t>ABBASI, Zubair. Responsible Legal Augmentation: Integrating Generative AI into Legal Practice. Law, Technology and Humans, v. 7, n. 3, p. 5-13, 2025. DOI: 10.5204/lthj.4200. Disponível em: https://doi.org/10.5204/lthj.4200. Acesso em: 20 set. 2026.</w:t>
      </w:r>
    </w:p>
    <w:p>
      <w:pPr>
        <w:spacing w:after="0" w:before="0" w:line="240" w:lineRule="auto"/>
      </w:pPr>
      <w:r>
        <w:rPr>
          <w:sz w:val="20"/>
        </w:rPr>
        <w:t>CURLIN IV, James H. ChatGPT Didn't Write This... or Did It? The emergence of generative AI in the legal field and lessons from Mata v. Avianca. Arkansas Law Review, v. 78, n. 1, art. 6, 2025. DOI: 10.54119/alr.mlrt4575. Disponível em: https://doi.org/10.54119/alr.mlrt4575. Acesso em: 20 set. 2026.</w:t>
      </w:r>
    </w:p>
    <w:p>
      <w:pPr>
        <w:spacing w:after="0" w:before="0" w:line="240" w:lineRule="auto"/>
      </w:pPr>
      <w:r>
        <w:rPr>
          <w:sz w:val="20"/>
        </w:rPr>
        <w:t>ABBASI, Muhammad Zubair. Scaling Artificial Intelligence for Augmented Learning: developing a generative AI evaluation scale through a case study in Islamic inheritance law. Journal of Digital Islamicate Research, 2025. DOI: 10.1163/27732363-20250002. Disponível em: https://doi.org/10.1163/27732363-20250002. Acesso em: 20 set. 2026.</w:t>
      </w:r>
    </w:p>
    <w:p>
      <w:pPr>
        <w:spacing w:after="0" w:before="0" w:line="240" w:lineRule="auto"/>
      </w:pPr>
      <w:r>
        <w:rPr>
          <w:sz w:val="20"/>
        </w:rPr>
        <w:t>ALIMARDANI, Armin. Generative artificial intelligence vs. law students: an empirical study on criminal law exam performance. Law, Innovation and Technology, v. 16, n. 2, p. 777-819, 2024. DOI: 10.1080/17579961.2024.2392932. Disponível em: https://doi.org/10.1080/17579961.2024.2392932. Acesso em: 20 set. 2026.</w:t>
      </w:r>
    </w:p>
    <w:p>
      <w:pPr>
        <w:spacing w:after="0" w:before="0" w:line="240" w:lineRule="auto"/>
      </w:pPr>
      <w:r>
        <w:rPr>
          <w:sz w:val="20"/>
        </w:rPr>
        <w:t>WARTENBERG, Katrin. E-Learning with an AI Learning Assistant for Legal Education in Public Administration. International Journal of Advanced Corporate Learning (iJAC), v. 18, n. 4, p. 69-77, 2025. DOI: 10.3991/ijac.v18i4.57923. Disponível em: https://doi.org/10.3991/ijac.v18i4.57923. Acesso em: 20 set. 2026.</w:t>
      </w:r>
    </w:p>
    <w:p>
      <w:pPr>
        <w:spacing w:after="0" w:before="0" w:line="240" w:lineRule="auto"/>
      </w:pPr>
      <w:r>
        <w:rPr>
          <w:sz w:val="20"/>
        </w:rPr>
        <w:t>MATTHEE, Jacques; STOPFORTH, Grey. The Importance of Ethical and Responsible AI Training in Law Schools to Avoid Career-Ending Pitfalls for Aspiring Attorneys. Journal for Juridical Science, v. 50, n. 1, p. 49-67, 2025. DOI: 10.38140/jjs.v50i1.9302. Disponível em: https://doi.org/10.38140/jjs.v50i1.9302. Acesso em: 20 set. 2026.</w:t>
      </w:r>
    </w:p>
    <w:p>
      <w:pPr>
        <w:spacing w:after="0" w:before="0" w:line="240" w:lineRule="auto"/>
      </w:pPr>
      <w:r>
        <w:rPr>
          <w:sz w:val="20"/>
        </w:rPr>
        <w:t>RAMASWAMY, M. P. Evolving Norms Governing AI Engagement in Legal Practice and the Prospective Alignment of Law School Curriculum. UCP Journal of Law &amp; Legal Education, v. 2, n. 2, p. 28-53, 2024. DOI: 10.24312/ucp-jlle.02.02.349. Disponível em: https://doi.org/10.24312/ucp-jlle.02.02.349. Acesso em: 20 set. 2026.</w:t>
      </w:r>
    </w:p>
    <w:p>
      <w:pPr>
        <w:spacing w:after="0" w:before="0" w:line="240" w:lineRule="auto"/>
      </w:pPr>
      <w:r>
        <w:rPr>
          <w:rFonts w:ascii="Times New Roman" w:hAnsi="Times New Roman"/>
          <w:b/>
          <w:sz w:val="20"/>
        </w:rPr>
        <w:t>Literatura contextual da atualização de 2026: não incluída no denominador n = 21</w:t>
      </w:r>
    </w:p>
    <w:p>
      <w:pPr>
        <w:spacing w:after="0" w:before="0" w:line="240" w:lineRule="auto"/>
      </w:pPr>
      <w:r>
        <w:rPr>
          <w:sz w:val="20"/>
        </w:rPr>
        <w:t>LORTEAU, Steve; SARRO, Douglas. Artificial intelligence in legal education: a scoping review. The Law Teacher, v. 60, n. 1, p. 138-162, 2026. DOI: 10.1080/03069400.2025.2592440. Disponível em: https://doi.org/10.1080/03069400.2025.2592440. Acesso em: 20 set. 2026.</w:t>
      </w:r>
    </w:p>
    <w:p>
      <w:pPr>
        <w:spacing w:after="0" w:before="0" w:line="240" w:lineRule="auto"/>
      </w:pPr>
      <w:r>
        <w:rPr>
          <w:sz w:val="20"/>
        </w:rPr>
        <w:t>SCHREPEL, Thibault. Generative AI in legal education: a two-year experiment with ChatGPT. Law, Innovation and Technology, v. 18, n. 1, p. 1-42, 2026. DOI: 10.1080/17579961.2026.2633673. Disponível em: https://doi.org/10.1080/17579961.2026.2633673. Acesso em: 20 set. 2026.</w:t>
      </w:r>
    </w:p>
    <w:p>
      <w:pPr>
        <w:pStyle w:val="Heading1"/>
      </w:pPr>
      <w:r>
        <w:rPr>
          <w:b w:val="0"/>
        </w:rPr>
        <w:t>APÊNDICE A — Checklist PRISMA-ScR, strings de busca e razões de exclusão</w:t>
      </w:r>
    </w:p>
    <w:p>
      <w:pPr/>
      <w:r>
        <w:rPr>
          <w:b w:val="0"/>
        </w:rPr>
        <w:t>Conteúdo integral arquivado em: https://osf.io/t7env/ · DOI 10.5281/zenodo.22870968 (consultado em 23/09/2026).</w:t>
      </w:r>
    </w:p>
    <w:p>
      <w:pPr/>
      <w:r>
        <w:rPr>
          <w:b w:val="0"/>
        </w:rPr>
        <w:t>O Apêndice A reproduz o suplemento PRISMA-ScR da revisão (v49), incluindo: (1) checklist PRISMA-ScR preenchido item a item; (2) strings de busca integrais executadas em OpenAlex (O1 broad, O2 IA+educação jurídica, O3 IA+currículo, O4 IA+pedagogia) e DOAJ; (3) razões de exclusão dos estudos recuperados; (4) matriz de concordância RH1/RH2 anonimizada (κ=1,000; Po=1,000; Pe=0,580); e (5) instrumentos de triagem utilizados pelos revisores humanos.</w:t>
      </w:r>
    </w:p>
    <w:p>
      <w:pPr/>
      <w:r>
        <w:rPr>
          <w:b/>
        </w:rPr>
        <w:t>Suplemento PRISMA-ScR — R522 v49</w:t>
      </w:r>
    </w:p>
    <w:p>
      <w:pPr/>
      <w:r>
        <w:rPr>
          <w:b w:val="0"/>
        </w:rPr>
        <w:t>**Manuscrito:** IA generativa na educação jurídica brasileira entre a regulação e a sala de aula. **Versão do suplemento:** v49 — 20/09/2026. **Função:** reunir, em um único arquivo, checklist PRISMA-ScR, strings disponíveis, log de execução, matriz de extração, razões de exclusão e trilha RH1/RH2. **Nota de integridade:** este suplemento consolida apenas informações já disponíveis nos artefatos locais. Strings não recuperadas textualmente não foram reconstruídas por memória.</w:t>
      </w:r>
    </w:p>
    <w:p>
      <w:pPr/>
      <w:r>
        <w:rPr>
          <w:b/>
        </w:rPr>
        <w:t>1. Arquivos-fonte e integridade</w:t>
      </w:r>
    </w:p>
    <w:p>
      <w:pPr/>
      <w:r>
        <w:t>| Artefato | Caminho local | SHA-256 | |---|---|---| | Matriz de extração | `matriz_extracao_R522.xlsx` | `d6390dcb351d31fedb27ddab0ed0e177bc185c1c3080f6a8fd6874482b7a2ddc` | | Log de execução real | `execucao_real/LOG_EXECUCAO_REAL_R522.md` | `bf512e4bc1a320c9be1a12bc5d222f7a26457dcfeb45eec5690b22c983e0065d` | | Consolidação DOAJ | `execucao_real/consolidacao_doaj.md` | `bbfedd2a8a45a93650768b7160395d0be2bd5de32bce0235481e136009bd1eb4` | | OpenAlex O1 | `execucao_real/openalex_legal_genai.json` | `8168cb650a000a45996529b2e92041b47bbcece3bea5876ed73e0bf403b0419c` | | OpenAlex O2 | `execucao_real/oa1.json` | `99b07850a92551a9ed73d652ee975d8f281453a63a5c3fe32772f5bfd40eb93c` | | OpenAlex O3 | `execucao_real/oa2.json` | `f2d0aa15a82201df16b9d99e37a4aee7d1351eb09f4ca91a0309ca23da3b499b` | | OpenAlex atualização 2026 | `execucao_real/openalex_2026_update.json` | `f505cc526439829b88f99198da91c6a6ce911c94078af64a037edd83bf91eccc` | | RH1 humano | `R522_SERIE_HUMANA_RH1_PREENCHIMENTO_DOCUMENTADO (1).pdf` | `6068c942a4c5514f25c3c503d68a33598eb62781da11111ab6ac4c65d5e8b5ea` | | RH2 humano | `R522_SERIE_HUMANA_RH2_PREENCHIMENTO_DOCUMENTADO (1).pdf` | `5cb0dba37f10f970451601f23e4608481fb2edd1bd55b1674285b59898bd2405` | | Errata RH2/κ | `ERRATA_RH2_KAPPA_R522_v49.md` | calcular após fechamento do pacote |</w:t>
      </w:r>
    </w:p>
    <w:p>
      <w:pPr/>
      <w:r>
        <w:rPr>
          <w:b/>
        </w:rPr>
        <w:t>2. Checklist PRISMA-ScR consolidado</w:t>
      </w:r>
    </w:p>
    <w:p>
      <w:pPr/>
      <w:r>
        <w:rPr>
          <w:b w:val="0"/>
        </w:rPr>
        <w:t>O checklist oficial PRISMA-ScR contém 20 itens essenciais e 2 opcionais. A tabela abaixo registra o estado de atendimento na v49.</w:t>
      </w:r>
    </w:p>
    <w:p>
      <w:pPr/>
      <w:r>
        <w:rPr>
          <w:b w:val="0"/>
        </w:rPr>
        <w:t>| Item PRISMA-ScR | Status v49 | Evidência/localização | |---|---|---| | Título identifica revisão de escopo | Atende | Título/subtítulo do manuscrito. | | Resumo estruturado | Atende com microcorreção v49 | Resumo e abstract corrigidos para D6 &lt; D5. | | Racional | Atende | Introdução e referencial teórico. | | Objetivos/pergunta | Atende | Método, pergunta PICo comparada. | | Protocolo/registro | Atende parcialmente | Protocolo retrospectivo; OSF/DOI ainda pendente antes de submissão. | | Critérios de elegibilidade | Atende | Seção 3.5 do manuscrito e log. | | Fontes de informação | Atende com limitação explícita | OpenAlex e DOAJ executadas; SciELO/Educ@/Google Scholar formal/Scopus/WoS/CAPES limitadas ou não auditáveis. | | Busca | Atende para OpenAlex/DOAJ; pendente para fontes não executadas | Strings D1-D11 e O1-O3 registradas neste suplemento. | | Seleção de fontes de evidência | Atende | RH1/RH2 humanos documentados; errata v49. | | Processo de extração | Atende | Matriz de extração versionada. | | Itens dos dados | Atende | Matriz: metadados, desenho, método, achados, limitações, dimensões/eixos. | | Avaliação crítica individual | Não aplicável/limitado | Scoping review; não se agregou risco de viés como metanálise. | | Síntese dos resultados | Atende | Síntese descritiva e temática; tabelas D1-D6/E1-E4. | | Seleção de evidências — resultados | Atende | Fluxograma PRISMA-ScR e razões de exclusão. | | Características das evidências | Atende parcialmente | Caracterização nominal do corpus; matriz suplementar contém detalhes. | | Avaliação crítica — resultados | Não aplicável/limitado | Ver nota de limites inferenciais e ausência de eficácia causal. | | Resultados de fontes individuais | Atende no suplemento | Matriz de extração. | | Síntese dos resultados — resultados | Atende | Seção 4.2/4.3. | | Sumário da evidência | Atende | Discussão e conclusão. | | Limitações | Atende | Bases abertas, paywalls, protocolo retrospectivo, ausência de mensuração causal. | | Conclusões | Atende com linguagem proporcional | v49 troca “confirma-se” por “os achados indicam/sugerem”. | | Financiamento/conflitos | Atende | Declarações finais. |</w:t>
      </w:r>
    </w:p>
    <w:p>
      <w:pPr/>
      <w:r>
        <w:rPr>
          <w:b/>
        </w:rPr>
        <w:t>3. Strings de busca registradas</w:t>
      </w:r>
    </w:p>
    <w:p>
      <w:pPr/>
      <w:r>
        <w:rPr>
          <w:b/>
        </w:rPr>
        <w:t>3.1 DOAJ — API aberta, 17/09/2026</w:t>
      </w:r>
    </w:p>
    <w:p>
      <w:pPr/>
      <w:r>
        <w:rPr>
          <w:b w:val="0"/>
        </w:rPr>
        <w:t>| ID | String executada | Total recuperado | Exportação | |---|---|---:|---| | D1 | `"legal education" AND "artificial intelligence" AND Brazil` | 2 | `doaj_legal_edu_ai_brazil.json` | | D2 | `"ensino juridico" AND "inteligencia artificial"` | 1 | `doaj_ensino_jur_ia.json` | | D3 | `"generative AI" AND "legal education"` | 10 | `doaj_genai_legal_edu.json` | | D4 | `"legal education" AND "generative artificial intelligence"` | 7 | `doaj_*.json` | | D5 | `"law school" AND ChatGPT AND assessment` | 2 | `doaj_*.json` | | D6 | `"educacao juridica" AND "inteligencia artificial"` | 0 | `doaj_*.json` | | D7 | `"legal education" AND "AI Act"` | 1 | `doaj_*.json` | | D8 | `"IA generativa" AND "ensino juridico"` | 0 | `doaj_*.json` | | D9 | `"ChatGPT" AND "law school" AND ethics` | 4 | `doaj_*.json` | | D10 | `"generative AI" AND "higher education" AND ethics AND law` | 5 | `doaj_*.json` | | D11 | `"legal education" AND equity AND AI` | 1 | `doaj_*.json` |</w:t>
      </w:r>
    </w:p>
    <w:p>
      <w:pPr/>
      <w:r>
        <w:rPr>
          <w:b w:val="0"/>
        </w:rPr>
        <w:t>Total bruto DOAJ: 33 registros; consolidação por título registrada em `execucao_real/consolidacao_doaj.md`.</w:t>
      </w:r>
    </w:p>
    <w:p>
      <w:pPr/>
      <w:r>
        <w:rPr>
          <w:b/>
        </w:rPr>
        <w:t>3.2 OpenAlex — API aberta, 17/09/2026</w:t>
      </w:r>
    </w:p>
    <w:p>
      <w:pPr/>
      <w:r>
        <w:rPr>
          <w:b w:val="0"/>
        </w:rPr>
        <w:t>| ID | String/filtro registrado | Total recuperado | Exportação | |---|---|---:|---| | O1 | `search=legal education generative AI (2020-2025)` | 42.671 na API; amostra top-25 exportada | `openalex_legal_genai.json` | | O2 | `title_and_abstract:"legal education" AND "generative AI" (2020-2025, artigo)` | 25 | `oa1.json` | | O3 | `title_and_abstract:"ensino juridico" OR "educacao juridica" (2020-2025, artigo)` | 25 | `oa2.json` |</w:t>
      </w:r>
    </w:p>
    <w:p>
      <w:pPr/>
      <w:r>
        <w:rPr>
          <w:b/>
        </w:rPr>
        <w:t>3.3 Atualização 2026 — OpenAlex, 18/09/2026</w:t>
      </w:r>
    </w:p>
    <w:p>
      <w:pPr/>
      <w:r>
        <w:rPr>
          <w:b w:val="0"/>
        </w:rPr>
        <w:t>Arquivo: `execucao_real/openalex_2026_update.json`. Candidatos identificados: Lorteau &amp; Sarro (2026), Schrepel (2026) e Fruehwald (2026). Lorteau &amp; Sarro e Schrepel foram mantidos como literatura contextual por paywall/ausência de texto completo recuperado; Fruehwald ficou fora do corpus por tipo documental (preprint SSRN).</w:t>
      </w:r>
    </w:p>
    <w:p>
      <w:pPr/>
      <w:r>
        <w:rPr>
          <w:b/>
        </w:rPr>
        <w:t>3.4 Fontes não executadas integralmente</w:t>
      </w:r>
    </w:p>
    <w:p>
      <w:pPr/>
      <w:r>
        <w:rPr>
          <w:b w:val="0"/>
        </w:rPr>
        <w:t>SciELO teve tentativa bloqueada por anti-bot; Educ@ e Google Acadêmico foram acessados apenas de modo exploratório por índice web; Scopus, Web of Science e Portal CAPES não foram executados por ausência de credenciais institucionais. Nenhum número dessas fontes foi usado como denominador final.</w:t>
      </w:r>
    </w:p>
    <w:p>
      <w:pPr/>
      <w:r>
        <w:rPr>
          <w:b/>
        </w:rPr>
        <w:t>4. Razões de exclusão registradas</w:t>
      </w:r>
    </w:p>
    <w:p>
      <w:pPr/>
      <w:r>
        <w:rPr>
          <w:b w:val="0"/>
        </w:rPr>
        <w:t>| Registro | Decisão final | Código | Razão | |---|---|---|---| | A01 | Excluído | E2 | Foco educacional insuficientemente central para o corpus final. | | B02 | Excluído | E4 | Introdução/editorial sem método próprio compatível. | | N03 | Excluído | E4 | Ausência de método próprio/compatível com critérios finais. | | N12 | Excluído | E4 | Estratégias gerais sem método próprio/compatível para o corpus final. | | C07 | Excluído/não analisável | E6 | Texto completo não recuperado por rota legítima; subscription/paywall. | | N06 | Excluído/não analisável | E6 | Texto completo não recuperado por rota legítima; paywall. | | N09 | Excluído/não analisável | E6 | Texto completo não recuperado por rota legítima; paywall. | | N10 | Excluído/não analisável | E6 | Texto completo não recuperado por rota legítima; sem PDF direto confiável. | | N16 | Excluído/não analisável | E6 | Texto completo não recuperado por rota legítima; paywall. |</w:t>
      </w:r>
    </w:p>
    <w:p>
      <w:pPr/>
      <w:r>
        <w:rPr>
          <w:b/>
        </w:rPr>
        <w:t>5. Concordância RH1/RH2</w:t>
      </w:r>
    </w:p>
    <w:p>
      <w:pPr/>
      <w:r>
        <w:rPr>
          <w:b w:val="0"/>
        </w:rPr>
        <w:t>A série humana documentada de 19/09/2026 é a documentação vigente para o manuscrito v49. Ver `ERRATA_RH2_KAPPA_R522_v49.md`.</w:t>
      </w:r>
    </w:p>
    <w:p>
      <w:pPr/>
      <w:r>
        <w:rPr>
          <w:b w:val="0"/>
        </w:rPr>
        <w:t>| | RH2 incluir | RH2 excluir | Total RH1 | |---|---:|---:|---:| | RH1 incluir | 21 | 0 | 21 | | RH1 excluir | 0 | 9 | 9 | | Total RH2 | 21 | 9 | 30 |</w:t>
      </w:r>
    </w:p>
    <w:p>
      <w:pPr/>
      <w:r>
        <w:rPr>
          <w:b w:val="0"/>
        </w:rPr>
        <w:t>Po=1,000; Pe=0,580; κ=1,000. Interpretação: concordância perfeita entre registros humanos documentados; não implica validade perfeita das decisões.</w:t>
      </w:r>
    </w:p>
    <w:p>
      <w:pPr/>
      <w:r>
        <w:rPr>
          <w:b/>
        </w:rPr>
        <w:t>6. Corpus final v49</w:t>
      </w:r>
    </w:p>
    <w:p>
      <w:pPr/>
      <w:r>
        <w:rPr>
          <w:b w:val="0"/>
        </w:rPr>
        <w:t>O corpus analítico final permanece em **n = 21**, conforme manuscrito v49. As frequências v49 são:</w:t>
      </w:r>
    </w:p>
    <w:p>
      <w:pPr/>
      <w:r>
        <w:rPr>
          <w:b w:val="0"/>
        </w:rPr>
        <w:t>- D1 Marcos normativos: 20/21 = 95,2%. - D2 Comparação internacional: 11/21 = 52,4%. - D3 Letramento/competências: 11/21 = 52,4%. - D4 Ética e responsabilidade: 16/21 = 76,2%. - D5 Abordagens pedagógicas (IA como método): 9/21 = 42,9%. - D6 Equidade/Acesso: 8/21 = 38,1%. - E1 Fundamentos éticos: 20/21 = 95,2%. - E2 Transparência/explicabilidade: 15/21 = 71,4%. - E3 Proteção de dados/privacidade: 12/21 = 57,1%. - E4 Competências humanísticas: 18/21 = 85,7%.</w:t>
      </w:r>
    </w:p>
    <w:p>
      <w:pPr/>
      <w:r>
        <w:rPr>
          <w:b/>
        </w:rPr>
        <w:t>7. Pendências antes de depósito externo</w:t>
      </w:r>
    </w:p>
    <w:p>
      <w:pPr/>
      <w:r>
        <w:rPr>
          <w:b w:val="0"/>
        </w:rPr>
        <w:t>1. Depositar este suplemento, a matriz `.xlsx`, o log e os instrumentos RH1/RH2 em repositório persistente (OSF/Zenodo ou equivalente). 2. Inserir DOI/URL persistente apenas após o depósito real. 3. Manter todas as versões antigas com status histórico, mas usar a errata v49 para orientar a leitura do pacote atual.</w:t>
      </w:r>
    </w:p>
    <w:sectPr>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