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40" w:before="0" w:line="240" w:lineRule="auto"/>
        <w:ind w:firstLine="0"/>
        <w:jc w:val="center"/>
      </w:pPr>
      <w:r>
        <w:rPr>
          <w:rFonts w:ascii="Times New Roman" w:hAnsi="Times New Roman"/>
          <w:b/>
          <w:i w:val="0"/>
          <w:color w:val="8B1A1A"/>
          <w:sz w:val="26"/>
        </w:rPr>
        <w:t>STATUS: RASCUNHO ACADÊMICO COM PENDÊNCIAS CRÍTICAS</w:t>
      </w:r>
    </w:p>
    <w:p>
      <w:pPr>
        <w:spacing w:after="280" w:before="0" w:line="240" w:lineRule="auto"/>
        <w:ind w:firstLine="0"/>
        <w:jc w:val="center"/>
      </w:pPr>
      <w:r>
        <w:rPr>
          <w:rFonts w:ascii="Times New Roman" w:hAnsi="Times New Roman"/>
          <w:b/>
          <w:i w:val="0"/>
          <w:color w:val="8B1A1A"/>
          <w:sz w:val="24"/>
        </w:rPr>
        <w:t>NÃO SUBMETER NESTA VERSÃO</w:t>
      </w:r>
    </w:p>
    <w:p>
      <w:pPr>
        <w:spacing w:after="320" w:before="0" w:line="360" w:lineRule="auto"/>
        <w:ind w:firstLine="0"/>
        <w:jc w:val="center"/>
      </w:pPr>
      <w:r>
        <w:rPr>
          <w:rFonts w:ascii="Times New Roman" w:hAnsi="Times New Roman"/>
          <w:b w:val="0"/>
          <w:i/>
          <w:sz w:val="18"/>
        </w:rPr>
        <w:t>Motivo: os arquivos-fonte identificam a triagem/extração Rayyan como simulada. Por integridade científica, os números de seleção, frequências, gap map e Figuras 2–3 não são tratados como resultados observados. Esta versão preserva a arquitetura científica, converte achados não rastreáveis em campos pendentes e separa proposições analíticas de evidência empírica.</w:t>
      </w:r>
    </w:p>
    <w:p>
      <w:pPr>
        <w:spacing w:after="240" w:before="0" w:line="240" w:lineRule="auto"/>
        <w:ind w:firstLine="0"/>
        <w:jc w:val="center"/>
      </w:pPr>
      <w:r>
        <w:rPr>
          <w:rFonts w:ascii="Times New Roman" w:hAnsi="Times New Roman"/>
          <w:b/>
          <w:i w:val="0"/>
          <w:sz w:val="24"/>
        </w:rPr>
        <w:t>PONTIFÍCIA UNIVERSIDADE CATÓLICA DO RIO GRANDE DO SUL</w:t>
        <w:br/>
        <w:t>PROGRAMA DE PÓS-GRADUAÇÃO EM EDUCAÇÃO</w:t>
      </w:r>
    </w:p>
    <w:p>
      <w:pPr>
        <w:spacing w:after="160" w:before="0" w:line="240" w:lineRule="auto"/>
        <w:ind w:firstLine="0"/>
        <w:jc w:val="center"/>
      </w:pPr>
      <w:r>
        <w:rPr>
          <w:rFonts w:ascii="Times New Roman" w:hAnsi="Times New Roman"/>
          <w:b w:val="0"/>
          <w:i/>
          <w:color w:val="3C3C3C"/>
          <w:sz w:val="20"/>
        </w:rPr>
        <w:t>Educação Por Escrito — e-ISSN 2179-8435 — Qualis A4 (Ensino, 2021-2024)</w:t>
      </w:r>
    </w:p>
    <w:p>
      <w:pPr>
        <w:spacing w:after="40" w:before="0" w:line="240" w:lineRule="auto"/>
        <w:ind w:firstLine="0"/>
        <w:jc w:val="center"/>
      </w:pPr>
      <w:r>
        <w:rPr>
          <w:rFonts w:ascii="Times New Roman" w:hAnsi="Times New Roman"/>
          <w:b/>
          <w:i w:val="0"/>
          <w:sz w:val="20"/>
        </w:rPr>
        <w:t>CHAMADA 799 — FLUXO CONTÍNUO</w:t>
      </w:r>
    </w:p>
    <w:p>
      <w:pPr>
        <w:spacing w:after="360" w:before="0" w:line="240" w:lineRule="auto"/>
        <w:ind w:firstLine="0"/>
        <w:jc w:val="center"/>
      </w:pPr>
      <w:r>
        <w:rPr>
          <w:rFonts w:ascii="Times New Roman" w:hAnsi="Times New Roman"/>
          <w:b w:val="0"/>
          <w:i/>
          <w:sz w:val="16"/>
        </w:rPr>
        <w:t>https://revistaseletronicas.pucrs.br/porescrito/announcement/view/799</w:t>
      </w: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(2020–2025)</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pPr>
        <w:spacing w:after="240" w:before="0" w:line="240" w:lineRule="auto"/>
        <w:ind w:firstLine="0"/>
        <w:jc w:val="center"/>
      </w:pPr>
      <w:r>
        <w:rPr>
          <w:rFonts w:ascii="Times New Roman" w:hAnsi="Times New Roman"/>
          <w:b w:val="0"/>
          <w:i w:val="0"/>
          <w:sz w:val="20"/>
        </w:rPr>
        <w:t>Porto Alegre — RS, 17 de setembro de 2026</w:t>
      </w:r>
    </w:p>
    <w:p>
      <w:pPr>
        <w:spacing w:after="40"/>
        <w:jc w:val="center"/>
      </w:pPr>
      <w:r>
        <w:rPr>
          <w:rFonts w:ascii="Times New Roman" w:hAnsi="Times New Roman"/>
          <w:color w:val="505050"/>
          <w:sz w:val="14"/>
        </w:rPr>
        <w:t>Manuscrito v2.0 (PROTOCOLO) — formato ABNT — Times New Roman 12, 1,5, margens 3/2 cm — SPEC-935-R522</w:t>
        <w:br/>
      </w:r>
      <w:r>
        <w:rPr>
          <w:rFonts w:ascii="Times New Roman" w:hAnsi="Times New Roman"/>
          <w:i/>
          <w:color w:val="505050"/>
          <w:sz w:val="14"/>
        </w:rPr>
        <w:t>Submissão: https://revistaseletronicas.pucrs.br/porescrito/about/submissions  |  Sem APC  |  Duplo-cega  |  Turnitin</w:t>
      </w:r>
    </w:p>
    <w:p>
      <w:r>
        <w:br w:type="page"/>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2025 sobre implementação ética, transparente e equitativa de IAGen na educação jurídica brasileira, em perspectiva comparada com União Europeia, Portugal, Alemanha e Estados Unidos. Método. Propõe-se revisão de escopo orientada pelo Joanna Briggs Institute e relatada segundo PRISMA-ScR, com buscas em bases multidisciplinares e educacionais, triagem independente, extração padronizada e síntese descritiva e temática. Resultados. [A CONFIRMAR APÓS TRIAGEM REAL E AUDITÁVEL]. Os números e gráficos presentes em versões anteriores não são reportados aqui porque os arquivos de origem os identificam como simulados. Conclusão. O protocolo permite testar, sem antecipação de achados, se a produção sobre educação jurídica e IAGen privilegia marcos normativos em detrimento de evidência pedagógica, governança e equidade.</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2025 on the ethical, transparent and equitable implementation of GenAI in Brazilian legal education, with comparisons involving the European Union, Portugal, Germany and the United States. Method. A scoping review guided by the Joanna Briggs Institute and reported according to PRISMA-ScR is proposed, including multidisciplinary and educational databases, independent screening, standardized data extraction, and descriptive and thematic synthesis. Results. [TO BE CONFIRMED AFTER A REAL AND AUDITABLE SCREENING PROCESS]. Numbers and graphics from previous drafts are not reported because their source files identify them as simulated. Conclusion. The protocol is designed to test, without anticipating findings, whether scholarship on legal education and GenAI prioritizes regulatory frameworks over pedagogical evidence, governance and equity.</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(2020-2025)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 desenhada para mapear campo heterogêneo e identificar lacunas — com relato PRISMA-ScR, com registro OSF previsto antes da execução. Resultados somente serão reportados após execução e auditoria da busca, triagem e extração.</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(2020-2025)</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Será conduzida revisão de escopo orientada pela metodologia do Joanna Briggs Institute, com relato segundo PRISMA-ScR. A escolha decorre da heterogeneidade esperada do campo, que reúne estudos pedagógicos, análises documentais, relatos de experiência e literatura normativa. O objetivo é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2020–2025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Planejam-se buscas em Scopus, Web of Science Core Collection, SciELO, Educ@, Portal de Periódicos CAPES e DOAJ, com Google Acadêmico apenas como fonte complementar. Cada busca deverá registrar data, string integral, filtros, quantidade recuperada e arquivo exportado. O recorte principal é 2020–2025; documentos de 2026 poderão ser usados apenas como atualização contextual fora do corpus, salvo alteração formal e prospectiva do protocolo.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deverá ser realizada por revisores independentes, com resolução documentada de divergências. O fluxo deverá registrar identificação, deduplicação, triagem por título/resumo, avaliação de texto completo, motivos de exclusão e conjunto final incluído. A ficha de extração deverá conter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será descritiva, com denominadores explícitos. Frequências por dimensão somente serão calculadas a partir da matriz validada. A síntese qualitativa organizará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 recrutamento de participantes. A necessidade de apreciação ética deverá ser confirmada conforme as regras institucionais aplicáveis. Financiamento, conflitos, contribuições autorais, disponibilidade de dados e uso de ferramentas de IA deverão ser declarados de forma específica e verdadeira.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rPr>
          <w:rFonts w:ascii="Times New Roman" w:hAnsi="Times New Roman"/>
          <w:b/>
          <w:i w:val="0"/>
          <w:sz w:val="24"/>
        </w:rPr>
        <w:t>[A CONFIRMAR APÓS EXECUÇÃO REAL E AUDITÁVEL DA REVISÃO].</w:t>
      </w:r>
    </w:p>
    <w:p>
      <w:pPr>
        <w:spacing w:after="120" w:before="0" w:line="360" w:lineRule="auto"/>
        <w:ind w:firstLine="709"/>
        <w:jc w:val="both"/>
      </w:pPr>
      <w:r>
        <w:rPr>
          <w:rFonts w:ascii="Times New Roman" w:hAnsi="Times New Roman"/>
          <w:b w:val="0"/>
          <w:i w:val="0"/>
          <w:sz w:val="24"/>
        </w:rPr>
        <w:t>Esta versão não apresenta contagens de registros identificados, duplicatas, exclusões, estudos incluídos ou frequências temáticas como resultados observados. Os arquivos de trabalho fornecidos descrevem a extração Rayyan como simulada; por isso, os valores n=1.042, n=15, 66,7%, 60,0%, 53,3%, 46,7%, 33,3%, 26,7% e 20,0%, bem como o radar e o gap map derivados desses valores, foram excluídos do corpo científico desta versão. Eles somente poderão retornar ao manuscrito se forem reproduzidos a partir de exportações reais das bases, histórico de deduplicação/triagem e matriz de extração verificável.</w:t>
      </w:r>
    </w:p>
    <w:p>
      <w:pPr>
        <w:pStyle w:val="Heading2"/>
        <w:spacing w:after="120" w:before="240" w:line="240" w:lineRule="auto"/>
        <w:jc w:val="left"/>
      </w:pPr>
      <w:r>
        <w:rPr>
          <w:rFonts w:ascii="Times New Roman" w:hAnsi="Times New Roman"/>
          <w:b/>
          <w:color w:val="000000"/>
          <w:sz w:val="24"/>
        </w:rPr>
        <w:t>4.1 Estrutura prevista para apresentação dos resultados</w:t>
      </w:r>
    </w:p>
    <w:p>
      <w:pPr>
        <w:spacing w:after="120" w:before="0" w:line="360" w:lineRule="auto"/>
        <w:ind w:firstLine="709"/>
        <w:jc w:val="both"/>
      </w:pPr>
      <w:r>
        <w:rPr>
          <w:rFonts w:ascii="Times New Roman" w:hAnsi="Times New Roman"/>
          <w:b w:val="0"/>
          <w:i w:val="0"/>
          <w:sz w:val="24"/>
        </w:rPr>
        <w:t>Após a validação, esta seção deverá conter: (a) fluxograma PRISMA-ScR com números rastreáveis; (b) caracterização dos estudos incluídos; (c) frequências das dimensões analíticas com numerador e denominador; (d) síntese temática; (e) matriz comparativa Brasil–contextos internacionais; (f) mapa de lacunas. Cada tabela e figura deverá apontar diretamente para a matriz de extração que lhe dá origem.</w:t>
      </w:r>
    </w:p>
    <w:p>
      <w:pPr>
        <w:pStyle w:val="Heading2"/>
        <w:spacing w:after="120" w:before="240" w:line="240" w:lineRule="auto"/>
        <w:jc w:val="left"/>
      </w:pPr>
      <w:r>
        <w:rPr>
          <w:rFonts w:ascii="Times New Roman" w:hAnsi="Times New Roman"/>
          <w:b/>
          <w:color w:val="000000"/>
          <w:sz w:val="24"/>
        </w:rPr>
        <w:t>4.2 Figuras 2 e 3</w:t>
      </w:r>
    </w:p>
    <w:p>
      <w:pPr>
        <w:spacing w:after="120" w:before="0" w:line="360" w:lineRule="auto"/>
        <w:ind w:firstLine="709"/>
        <w:jc w:val="both"/>
      </w:pPr>
      <w:r>
        <w:rPr>
          <w:rFonts w:ascii="Times New Roman" w:hAnsi="Times New Roman"/>
          <w:b w:val="0"/>
          <w:i w:val="0"/>
          <w:sz w:val="24"/>
        </w:rPr>
        <w:t>As Figuras 2 (radar) e 3 (gap map) recebidas foram mantidas fora deste manuscrito porque seus próprios arquivos de origem vinculam os valores a uma extração simulada. Não devem ser submetidas como evidência observada até validação independente dos dados.</w:t>
      </w:r>
    </w:p>
    <w:p>
      <w:pPr>
        <w:pStyle w:val="Heading1"/>
        <w:spacing w:after="120" w:before="240" w:line="240" w:lineRule="auto"/>
        <w:jc w:val="left"/>
      </w:pPr>
      <w:r>
        <w:rPr>
          <w:rFonts w:ascii="Times New Roman" w:hAnsi="Times New Roman"/>
          <w:b/>
          <w:color w:val="000000"/>
          <w:sz w:val="24"/>
        </w:rPr>
        <w:t>5 DISCUSSÃO — ESTRUTURA ANALÍTICA A SER TESTADA</w:t>
      </w:r>
    </w:p>
    <w:p>
      <w:pPr>
        <w:spacing w:after="120" w:before="0" w:line="360" w:lineRule="auto"/>
        <w:ind w:firstLine="709"/>
        <w:jc w:val="both"/>
      </w:pPr>
      <w:r>
        <w:rPr>
          <w:rFonts w:ascii="Times New Roman" w:hAnsi="Times New Roman"/>
          <w:b w:val="0"/>
          <w:i w:val="0"/>
          <w:sz w:val="24"/>
        </w:rPr>
        <w:t>A discussão definitiva dependerá dos resultados validados. Nesta fase, quatro proposições orientam a leitura sem serem tratadas como achados: (1) a literatura pode privilegiar análise normativa em relação à avaliação pedagógica; (2) equidade e governança podem exigir dados primários e, por isso, aparecer menos em estudos documentais; (3) experiências internacionais podem oferecer instrumentos transferíveis, mas sua aplicação ao Brasil exige compatibilidade com LGPD, regulação educacional e desenho institucional; (4) transparência, supervisão humana e letramento em IA constituem dimensões a serem examinadas empiricamente, e não presumidas como consenso.</w:t>
      </w:r>
    </w:p>
    <w:p>
      <w:pPr>
        <w:pStyle w:val="Heading2"/>
        <w:spacing w:after="120" w:before="240" w:line="240" w:lineRule="auto"/>
        <w:jc w:val="left"/>
      </w:pPr>
      <w:r>
        <w:rPr>
          <w:rFonts w:ascii="Times New Roman" w:hAnsi="Times New Roman"/>
          <w:b/>
          <w:color w:val="000000"/>
          <w:sz w:val="24"/>
        </w:rPr>
        <w:t>5.1 Da norma à prática pedagógica</w:t>
      </w:r>
    </w:p>
    <w:p>
      <w:pPr>
        <w:spacing w:after="120" w:before="0" w:line="360" w:lineRule="auto"/>
        <w:ind w:firstLine="709"/>
        <w:jc w:val="both"/>
      </w:pPr>
      <w:r>
        <w:rPr>
          <w:rFonts w:ascii="Times New Roman" w:hAnsi="Times New Roman"/>
          <w:b w:val="0"/>
          <w:i w:val="0"/>
          <w:sz w:val="24"/>
        </w:rPr>
        <w:t>Fontes normativas e orientações institucionais podem informar critérios de governança, mas não demonstram, por si, eficácia pedagógica. A análise deverá distinguir obrigações jurídicas, recomendações éticas e evidências de aprendizagem. Relatos de experiência, quando incluídos, deverão ser interpretados segundo seu desenho, contexto e limitações.</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rPr>
          <w:rFonts w:ascii="Times New Roman" w:hAnsi="Times New Roman"/>
          <w:b w:val="0"/>
          <w:i w:val="0"/>
          <w:sz w:val="24"/>
        </w:rPr>
        <w:t>A comparação internacional deverá evitar transplantes normativos automáticos. Diferenças entre regimes jurídicos, instituições de ensino, formação profissional e infraestrutura digital precisam ser explicitadas antes de qualquer recomendação ao contexto brasileiro.</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rPr>
          <w:rFonts w:ascii="Times New Roman" w:hAnsi="Times New Roman"/>
          <w:b w:val="0"/>
          <w:i w:val="0"/>
          <w:sz w:val="24"/>
        </w:rPr>
        <w:t>A revisão deverá verificar como os estudos definem e mensuram equidade, acesso, viés, explicabilidade, contestação e supervisão humana. A ausência de medidas empíricas não poderá ser convertida em prova de inexistência do fenômeno; deverá ser reportada como lacuna de evidência.</w:t>
      </w:r>
    </w:p>
    <w:p>
      <w:pPr>
        <w:pStyle w:val="Heading1"/>
        <w:spacing w:after="120" w:before="240" w:line="240" w:lineRule="auto"/>
        <w:jc w:val="left"/>
      </w:pPr>
      <w:r>
        <w:rPr>
          <w:rFonts w:ascii="Times New Roman" w:hAnsi="Times New Roman"/>
          <w:b/>
          <w:color w:val="000000"/>
          <w:sz w:val="24"/>
        </w:rPr>
        <w:t>6 CONCLUSÃO PROVISÓRIA</w:t>
      </w:r>
    </w:p>
    <w:p>
      <w:pPr>
        <w:spacing w:after="120" w:before="0" w:line="360" w:lineRule="auto"/>
        <w:ind w:firstLine="709"/>
        <w:jc w:val="both"/>
      </w:pPr>
      <w:r>
        <w:rPr>
          <w:rFonts w:ascii="Times New Roman" w:hAnsi="Times New Roman"/>
          <w:b w:val="0"/>
          <w:i w:val="0"/>
          <w:sz w:val="24"/>
        </w:rPr>
        <w:t>O manuscrito apresenta uma arquitetura metodológica adequada a uma revisão de escopo sobre IAGen e educação jurídica, mas ainda não sustenta conclusões empíricas sobre frequência de dimensões ou magnitude de lacunas. A contribuição potencial reside em integrar literatura pedagógica, jurídica e de governança com rastreabilidade metodológica. A conclusão final deverá ser reescrita somente após a execução real da busca, triagem e extração, preservando linguagem proporcional aos desenhos encontrados.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[A CONFIRMAR].</w:t>
      </w:r>
    </w:p>
    <w:p>
      <w:pPr>
        <w:spacing w:after="120" w:before="0" w:line="360" w:lineRule="auto"/>
        <w:ind w:firstLine="0"/>
        <w:jc w:val="both"/>
      </w:pPr>
      <w:r>
        <w:rPr>
          <w:rFonts w:ascii="Times New Roman" w:hAnsi="Times New Roman"/>
          <w:b w:val="0"/>
          <w:i w:val="0"/>
          <w:sz w:val="24"/>
        </w:rPr>
        <w:t>Conflitos de interesses: [A CONFIRMAR PELOS AUTORES].</w:t>
      </w:r>
    </w:p>
    <w:p>
      <w:pPr>
        <w:spacing w:after="120" w:before="0" w:line="360" w:lineRule="auto"/>
        <w:ind w:firstLine="0"/>
        <w:jc w:val="both"/>
      </w:pPr>
      <w:r>
        <w:rPr>
          <w:rFonts w:ascii="Times New Roman" w:hAnsi="Times New Roman"/>
          <w:b w:val="0"/>
          <w:i w:val="0"/>
          <w:sz w:val="24"/>
        </w:rPr>
        <w:t>Contribuições CRediT: [A CONFIRMAR COM BASE NAS CONTRIBUIÇÕES REAIS].</w:t>
      </w:r>
    </w:p>
    <w:p>
      <w:pPr>
        <w:spacing w:after="120" w:before="0" w:line="360" w:lineRule="auto"/>
        <w:ind w:firstLine="0"/>
        <w:jc w:val="both"/>
      </w:pPr>
      <w:r>
        <w:rPr>
          <w:rFonts w:ascii="Times New Roman" w:hAnsi="Times New Roman"/>
          <w:b w:val="0"/>
          <w:i w:val="0"/>
          <w:sz w:val="24"/>
        </w:rPr>
        <w:t>Disponibilidade de dados: protocolo OSF [A REGISTRAR]; matriz de extração e exportações das bases [A VALIDAR E DEPOSITAR].</w:t>
      </w:r>
    </w:p>
    <w:p>
      <w:pPr>
        <w:spacing w:after="120" w:before="0" w:line="360" w:lineRule="auto"/>
        <w:ind w:firstLine="0"/>
        <w:jc w:val="both"/>
      </w:pPr>
      <w:r>
        <w:rPr>
          <w:rFonts w:ascii="Times New Roman" w:hAnsi="Times New Roman"/>
          <w:b w:val="0"/>
          <w:i w:val="0"/>
          <w:sz w:val="24"/>
        </w:rPr>
        <w:t>Uso de inteligência artificial: [A PREENCHER DE FORMA ESPECÍFICA, INDICANDO FERRAMENTA, FINALIDADE, ETAPAS E SUPERVISÃO HUMANA].</w:t>
      </w:r>
    </w:p>
    <w:p>
      <w:pPr>
        <w:spacing w:after="120" w:before="0" w:line="360" w:lineRule="auto"/>
        <w:ind w:firstLine="0"/>
        <w:jc w:val="both"/>
      </w:pPr>
      <w:r>
        <w:rPr>
          <w:rFonts w:ascii="Times New Roman" w:hAnsi="Times New Roman"/>
          <w:b w:val="0"/>
          <w:i w:val="0"/>
          <w:sz w:val="24"/>
        </w:rPr>
        <w:t>Autoria/ORCID/afiliação: devem constar apenas na folha de identificação separada, conforme as instruções atuais do periódico-alvo.</w:t>
      </w:r>
    </w:p>
    <w:p>
      <w:pPr>
        <w:pStyle w:val="Heading1"/>
        <w:spacing w:after="120" w:before="240" w:line="240" w:lineRule="auto"/>
        <w:jc w:val="left"/>
      </w:pPr>
      <w:r>
        <w:rPr>
          <w:rFonts w:ascii="Times New Roman" w:hAnsi="Times New Roman"/>
          <w:b/>
          <w:color w:val="000000"/>
          <w:sz w:val="24"/>
        </w:rPr>
        <w:t>REFERÊNCIAS — NÚCLEO VERIFICADO/PENDENTE DE AUDITORIA INTEGRAL</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rPr>
          <w:rFonts w:ascii="Times New Roman" w:hAnsi="Times New Roman"/>
          <w:sz w:val="20"/>
        </w:rPr>
        <w:t>BRASIL. Senado Federal. Projeto de Lei n. 2.338, de 2023. Dispõe sobre o uso da inteligência artificial. [Conferir situação legislativa na data da submissão].</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 [Usar apenas como atualização contextual se o corpus permanecer 2020–2025].</w:t>
      </w:r>
    </w:p>
    <w:p>
      <w:pPr>
        <w:pStyle w:val="Heading1"/>
        <w:spacing w:after="120" w:before="240" w:line="240" w:lineRule="auto"/>
        <w:jc w:val="left"/>
      </w:pPr>
      <w:r>
        <w:rPr>
          <w:rFonts w:ascii="Times New Roman" w:hAnsi="Times New Roman"/>
          <w:b/>
          <w:color w:val="000000"/>
          <w:sz w:val="24"/>
        </w:rPr>
        <w:t>NOTA DE AUDITORIA EDITORIAL</w:t>
      </w:r>
    </w:p>
    <w:p>
      <w:pPr>
        <w:spacing w:after="240" w:before="0" w:line="360" w:lineRule="auto"/>
        <w:ind w:firstLine="709"/>
        <w:jc w:val="both"/>
      </w:pPr>
      <w:r>
        <w:rPr>
          <w:rFonts w:ascii="Times New Roman" w:hAnsi="Times New Roman"/>
          <w:b w:val="0"/>
          <w:i/>
          <w:sz w:val="18"/>
        </w:rPr>
        <w:t>O periódico Educação Por Escrito é atualmente classificado como Qualis A4 na área principal, e não A1. Assim, “Qualis A1” pode ser tratado apenas como meta de rigor ou como requisito para seleção de outro periódico. As instruções atuais da Educação Por Escrito exigem, entre outros pontos, manuscrito desidentificado, folha de identificação separada, declaração de uso de IA, ORCID, formato Word e extensão de 15 a 20 páginas. Antes de qualquer submissão, a revista-alvo e sua classificação devem ser confirmadas novamente na fonte oficial vigente.</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Pr>
        <w:rFonts w:ascii="Times New Roman" w:hAnsi="Times New Roman"/>
        <w:color w:val="646464"/>
        <w:sz w:val="16"/>
      </w:rPr>
      <w:t xml:space="preserve">  |  Educação Por Escrito — Chamada 799 — R522 — PROTOCOLO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