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rPr>
        <w:t>Revisão de escopo Brasil-comparado sobre ética, governança algorítmica e equidade (2020-2026)</w:t>
      </w:r>
    </w:p>
    <w:p>
      <w:pPr>
        <w:jc w:val="center"/>
      </w:pPr>
      <w:r>
        <w:rPr>
          <w:rFonts w:ascii="Times New Roman" w:hAnsi="Times New Roman"/>
          <w:b/>
          <w:sz w:val="24"/>
        </w:rPr>
        <w:t>GENERATIVE AI IN BRAZILIAN LEGAL EDUCATION: BETWEEN REGULATION AND THE CLASSROOM</w:t>
      </w:r>
    </w:p>
    <w:p>
      <w:pPr>
        <w:spacing w:after="400" w:before="0" w:line="240" w:lineRule="auto"/>
        <w:ind w:firstLine="0"/>
        <w:jc w:val="center"/>
      </w:pPr>
      <w:r>
        <w:rPr>
          <w:rFonts w:ascii="Times New Roman" w:hAnsi="Times New Roman"/>
        </w:rPr>
      </w:r>
    </w:p>
    <w:p>
      <w:pPr>
        <w:spacing w:after="120" w:before="0" w:line="240" w:lineRule="auto"/>
        <w:ind w:firstLine="0"/>
        <w:jc w:val="center"/>
      </w:pPr>
      <w:r>
        <w:rPr>
          <w:rFonts w:ascii="Times New Roman" w:hAnsi="Times New Roman"/>
        </w:rPr>
      </w:r>
    </w:p>
    <w:p>
      <w:pPr>
        <w:spacing w:after="240" w:before="0" w:line="240" w:lineRule="auto"/>
        <w:ind w:firstLine="0"/>
        <w:jc w:val="center"/>
      </w:pPr>
      <w:r>
        <w:rPr>
          <w:rFonts w:ascii="Times New Roman" w:hAnsi="Times New Roman"/>
        </w:rPr>
      </w:r>
    </w:p>
    <w:p>
      <w:r>
        <w:rPr>
          <w:rFonts w:ascii="Times New Roman" w:hAnsi="Times New Roman"/>
        </w:rPr>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Pr>
          <w:rFonts w:ascii="Times New Roman" w:hAnsi="Times New Roman"/>
        </w:rPr>
      </w:r>
      <w:r>
        <w:rPr>
          <w:rFonts w:ascii="Times New Roman" w:hAnsi="Times New Roman"/>
        </w:rPr>
      </w:r>
      <w:r>
        <w:rPr>
          <w:rFonts w:ascii="Times New Roman" w:hAnsi="Times New Roman"/>
          <w:b w:val="0"/>
          <w:i w:val="0"/>
          <w:sz w:val="20"/>
        </w:rPr>
      </w: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33,3%).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r>
      <w:r>
        <w:rPr>
          <w:rFonts w:ascii="Times New Roman" w:hAnsi="Times New Roman"/>
          <w:b w:val="0"/>
          <w:i w:val="0"/>
          <w:sz w:val="20"/>
        </w:rPr>
      </w: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33.3%).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ChatGPT (nov. 2022), Gemini e congêneres: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menos de 10% tinham políticas formais: e que a validação deve ser dupla: ética e pedagógica, humanocêntrica, com proteção de agência humana, inclusão, equidade e diversidade linguístico-cultural. O horizonte EdGPT: modelos fundacionais refinados com conhecimento pedagógico e de interação professor-estudante: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art. 2º XIII, proteção de vulneráveis e de crianças/adolescentes: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notadamente a tipicidade fechada do direito tributário (Queiroz; Baleeiro/Derzi):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rPr>
        <w:t>O protocolo não foi pré-registrado antes da execução. Para preservar a transparência temporal, eventual depósito no Open Science Framework será identificado como retrospectivo e versionado, acompanhado das strings de busca, critérios de elegibilidade, formulário de extração, emendas e documentos de rastreabilidade disponíveis.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sz w:val="24"/>
        </w:rPr>
        <w:t>A triagem de elegibilidade foi realizada por dois revisores humanos independentes (RH1 e RH2), em instrumentos cegos que declaravam não conter as decisões da outra série. Ambos registraram avaliação pessoal e aplicação dos critérios vigentes aos registros disponibilizados. A concordância interavaliadores foi estimada pelo coeficiente κ de Cohen sobre 30 registros classificados por ambos.</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rPr>
          <w:rFonts w:ascii="Times New Roman" w:hAnsi="Times New Roman"/>
        </w:rP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rPr>
          <w:rFonts w:ascii="Times New Roman" w:hAnsi="Times New Roman"/>
        </w:rPr>
      </w:r>
    </w:p>
    <w:p>
      <w:pPr>
        <w:pStyle w:val="Heading2"/>
        <w:spacing w:after="120" w:before="240" w:line="240" w:lineRule="auto"/>
        <w:jc w:val="left"/>
      </w:pPr>
      <w:r>
        <w:rPr>
          <w:rFonts w:ascii="Times New Roman" w:hAnsi="Times New Roman"/>
        </w:rPr>
        <w:t>4.1 Fluxograma PRISMA-ScR e caracterização dos estudos incluídos</w:t>
      </w:r>
    </w:p>
    <w:p>
      <w:pPr>
        <w:spacing w:after="120" w:before="0" w:line="360" w:lineRule="auto"/>
        <w:ind w:firstLine="709"/>
        <w:jc w:val="both"/>
      </w:pPr>
      <w:r>
        <w:rPr>
          <w:rFonts w:ascii="Times New Roman" w:hAnsi="Times New Roman"/>
        </w:r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rPr>
          <w:rFonts w:ascii="Times New Roman" w:hAnsi="Times New Roman"/>
        </w:rPr>
      </w:r>
    </w:p>
    <w:p>
      <w:pPr>
        <w:spacing w:before="120" w:after="80"/>
        <w:jc w:val="center"/>
      </w:pPr>
      <w:r>
        <w:rPr>
          <w:rFonts w:ascii="Times New Roman" w:hAnsi="Times New Roman"/>
        </w:rP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rFonts w:ascii="Times New Roman" w:hAnsi="Times New Roman"/>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rPr>
          <w:rFonts w:ascii="Times New Roman" w:hAnsi="Times New Roman"/>
        </w:rPr>
        <w:t>4.2 Frequências observadas das dimensões analíticas e dos eixos temáticos</w:t>
      </w:r>
    </w:p>
    <w:p>
      <w:pPr>
        <w:spacing w:after="120" w:before="0" w:line="360" w:lineRule="auto"/>
        <w:ind w:firstLine="709"/>
        <w:jc w:val="both"/>
      </w:pPr>
      <w:r>
        <w:rPr>
          <w:rFonts w:ascii="Times New Roman" w:hAnsi="Times New Roman"/>
        </w:rP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rPr>
          <w:rFonts w:ascii="Times New Roman" w:hAnsi="Times New Roman"/>
        </w:rP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r>
        <w:rPr>
          <w:rFonts w:ascii="Times New Roman" w:hAnsi="Times New Roman"/>
          <w:sz w:val="24"/>
        </w:rPr>
        <w:t>Correspondência nominal do corpus. Os 21 registros incluídos são: Koroye e Sikpi (2025, B01), Landy (2025, B03), Baboolal-Frank, Papadopoulos e Schoeman (2025, B04), Hyde-Vaamonde e Keller (2025, B05), Prakash G e Nair (2024, B06), Hargreaves (2023, B08), Nunes de Souza (2023, B09), Carmo e Alves (2026, C01), Beuron e Maurmann (2024, C02), Radomysler et al. (2025, C03), Abal e Pilati (2025, C04), Fornasier (2021, C05), Sales (2022, C06), Ryan e Hardie (2024, N02), Abbasi (2025, N04), Curlin IV (2025, N07), Abbasi (2025, N08), Alimardani (2024, N11), Wartenberg (2025, N13), Matthee e Stopforth (2025, N14) e Ramaswamy (2024, N15). Essa enumeração funciona como chave de rastreabilidade entre os IDs usados nas Tabelas 1-2 e as referências bibliográficas; as interpretações temáticas permanecem vinculadas à matriz de extração e não decorrem apenas da presença nominal de uma referência.</w:t>
      </w:r>
    </w:p>
    <w:p>
      <w:r>
        <w:rPr>
          <w:rFonts w:ascii="Times New Roman" w:hAnsi="Times New Roman"/>
          <w:sz w:val="24"/>
        </w:rPr>
        <w:t>Concordância interavaliadores. Nos 30 registros classificados por RH1 e RH2, houve concordância em todas as decisões: 21 registros foram classificados como inclusão por ambos e 9 como exclusão por ambos, sem células discordantes. Assim, Po = 1,000; Pe = (0,700² + 0,300²) = 0,580; e κ de Cohen = 1,000. O coeficiente expressa concordância perfeita entre as classificações registradas e não implica, por si só, validade perfeita das decisões de elegibilidade.</w:t>
      </w:r>
    </w:p>
    <w:p>
      <w:pPr>
        <w:pStyle w:val="Heading2"/>
      </w:pPr>
      <w:r>
        <w:rPr>
          <w:rFonts w:ascii="Times New Roman" w:hAnsi="Times New Roman"/>
        </w:rPr>
        <w:t>4.3 Síntese temática</w:t>
      </w:r>
    </w:p>
    <w:p>
      <w:r>
        <w:rPr>
          <w:rFonts w:ascii="Times New Roman" w:hAnsi="Times New Roman"/>
        </w:rP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rFonts w:ascii="Times New Roman" w:hAnsi="Times New Roman"/>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rFonts w:ascii="Times New Roman" w:hAnsi="Times New Roman"/>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evidência de que D3 (Responsabilidade) e E3 (Dados/Privacidade) se consolidam como eixos operacionais, não apenas teóricos.</w:t>
      </w:r>
    </w:p>
    <w:p>
      <w:pPr>
        <w:spacing w:after="40"/>
      </w:pPr>
      <w:r>
        <w:rPr>
          <w:rFonts w:ascii="Times New Roman" w:hAnsi="Times New Roman"/>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rPr>
          <w:rFonts w:ascii="Times New Roman" w:hAnsi="Times New Roman"/>
        </w:rPr>
        <w:t>5 DISCUSSÃO</w:t>
      </w:r>
    </w:p>
    <w:p>
      <w:pPr>
        <w:spacing w:after="40"/>
      </w:pPr>
      <w:r>
        <w:rPr>
          <w:rFonts w:ascii="Times New Roman" w:hAnsi="Times New Roman"/>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alternativa concreta à proibição genérica e à adoção acrítica.</w:t>
      </w:r>
    </w:p>
    <w:p>
      <w:pPr>
        <w:spacing w:after="120" w:before="0" w:line="360" w:lineRule="auto"/>
        <w:ind w:firstLine="709"/>
        <w:jc w:val="both"/>
      </w:pPr>
      <w:r>
        <w:rPr>
          <w:rFonts w:ascii="Times New Roman" w:hAnsi="Times New Roman"/>
        </w:rP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com 82 obras de 26 jurisdições: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rFonts w:ascii="Times New Roman" w:hAnsi="Times New Roman"/>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rFonts w:ascii="Times New Roman" w:hAnsi="Times New Roman"/>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rPr>
          <w:rFonts w:ascii="Times New Roman" w:hAnsi="Times New Roman"/>
        </w:rP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rFonts w:ascii="Times New Roman" w:hAnsi="Times New Roman"/>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rPr>
          <w:rFonts w:ascii="Times New Roman" w:hAnsi="Times New Roman"/>
        </w:rP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rPr>
          <w:rFonts w:ascii="Times New Roman" w:hAnsi="Times New Roman"/>
        </w:rP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rPr>
          <w:rFonts w:ascii="Times New Roman" w:hAnsi="Times New Roman"/>
        </w:rPr>
        <w:t>6 CONCLUSÃO</w:t>
      </w:r>
    </w:p>
    <w:p>
      <w:pPr>
        <w:spacing w:after="120" w:before="0" w:line="360" w:lineRule="auto"/>
        <w:ind w:firstLine="709"/>
        <w:jc w:val="both"/>
      </w:pPr>
      <w:r>
        <w:rPr>
          <w:rFonts w:ascii="Times New Roman" w:hAnsi="Times New Roman"/>
        </w:rP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C07, N06, N09, N10, N16: e 2 candidatos 2026 com paywall: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revisão e edição.</w:t>
      </w:r>
    </w:p>
    <w:p>
      <w:pPr>
        <w:spacing w:after="120" w:before="0" w:line="360" w:lineRule="auto"/>
        <w:ind w:firstLine="0"/>
        <w:jc w:val="both"/>
      </w:pPr>
      <w:r>
        <w:rPr>
          <w:rFonts w:ascii="Times New Roman" w:hAnsi="Times New Roman"/>
          <w:sz w:val="24"/>
        </w:rPr>
        <w:t>Disponibilidade de dados: o protocolo não foi pré-registrado. Eventual depósito posterior será identificado como retrospectivo e versionado. A matriz de extração e as exportações das bases podem ser disponibilizadas para auditoria, preservada a documentação de proveniência.</w:t>
      </w:r>
    </w:p>
    <w:p>
      <w:pPr>
        <w:spacing w:after="120" w:before="0" w:line="360" w:lineRule="auto"/>
        <w:ind w:firstLine="0"/>
        <w:jc w:val="both"/>
      </w:pPr>
      <w:r>
        <w:rPr>
          <w:rFonts w:ascii="Times New Roman" w:hAnsi="Times New Roman"/>
          <w:sz w:val="24"/>
        </w:rPr>
        <w:t>Uso de inteligência artificial: ferramentas de IA generativa foram utilizadas como apoio técnico em etapas delimitadas de organização, auditoria bibliográfica e edição textual. A triagem de elegibilidade foi realizada por dois revisores humanos independentes (RH1 e RH2), e as decisões de inclusão/exclusão permaneceram sob responsabilidade humana.</w:t>
      </w:r>
    </w:p>
    <w:p>
      <w:pPr>
        <w:spacing w:after="120" w:before="0" w:line="360" w:lineRule="auto"/>
        <w:ind w:firstLine="0"/>
        <w:jc w:val="both"/>
      </w:pPr>
      <w:r>
        <w:rPr>
          <w:rFonts w:ascii="Times New Roman" w:hAnsi="Times New Roman"/>
        </w:rPr>
        <w:t>Autoria e afiliação: devem constar apenas na folha de identificação separada, conforme as instruções atuais do periódico-alvo.</w:t>
      </w:r>
    </w:p>
    <w:p>
      <w:r>
        <w:rPr>
          <w:rFonts w:ascii="Times New Roman" w:hAnsi="Times New Roman"/>
        </w:rPr>
        <w:t>Nota de delimitação bibliográfica. O corpus analítico é composto pelos 21 estudos identificados na subseção correspondente das referências. Referências metodológicas, normativas e contextuais sustentam o desenho e a discussão, mas não integram os denominadores das sínteses. Lorteau e Sarro e Schrepel permanecem como literatura contextual da atualização de 2026 e não integram n = 21.</w:t>
      </w:r>
    </w:p>
    <w:p>
      <w:pPr>
        <w:pStyle w:val="Heading1"/>
        <w:spacing w:after="40" w:before="240" w:line="240" w:lineRule="auto"/>
        <w:jc w:val="left"/>
      </w:pPr>
      <w:r>
        <w:rPr>
          <w:rFonts w:ascii="Times New Roman" w:hAnsi="Times New Roman"/>
          <w:sz w:val="21"/>
        </w:rPr>
        <w:t>REFERÊNCIAS</w:t>
      </w:r>
    </w:p>
    <w:p>
      <w:pPr>
        <w:spacing w:after="40" w:line="240" w:lineRule="auto"/>
        <w:jc w:val="left"/>
      </w:pPr>
      <w:r>
        <w:rPr>
          <w:rFonts w:ascii="Times New Roman" w:hAnsi="Times New Roman"/>
          <w:sz w:val="21"/>
        </w:rPr>
        <w:t>BRASIL. Lei n. 13.709, de 14 de agosto de 2018. Lei Geral de Proteção de Dados Pessoais. Disponível em: https://www.planalto.gov.br/ccivil_03/_ato2015-2018/2018/lei/l13709compilado.htm.</w:t>
      </w:r>
    </w:p>
    <w:p>
      <w:pPr>
        <w:spacing w:after="40" w:line="240" w:lineRule="auto"/>
        <w:jc w:val="left"/>
      </w:pPr>
      <w:r>
        <w:rPr>
          <w:rFonts w:ascii="Times New Roman" w:hAnsi="Times New Roman"/>
          <w:sz w:val="21"/>
        </w:rPr>
        <w:t>BRASIL. Senado Federal. Projeto de Lei n. 2.338, de 2023. Dispõe sobre o uso da inteligência artificial. Situação legislativa: aprovado no Senado Federal em dezembro de 2024 e remetido à Câmara dos Deputados; acompanhamento legislativo consultado em 18 set. 2026. Disponível em: https://www.camara.leg.br/proposicoesWeb/fichadetramitacao/?idProposicao=2487262.</w:t>
      </w:r>
    </w:p>
    <w:p>
      <w:pPr>
        <w:spacing w:after="40" w:line="240" w:lineRule="auto"/>
        <w:jc w:val="left"/>
      </w:pPr>
      <w:r>
        <w:rPr>
          <w:rFonts w:ascii="Times New Roman" w:hAnsi="Times New Roman"/>
          <w:sz w:val="21"/>
        </w:rPr>
        <w:t>BRASIL. Conselho Nacional de Justiça. Resolução n. 615, de 11 de março de 2025. Estabelece diretrizes para o desenvolvimento, utilização e governança de soluções de inteligência artificial no Poder Judiciário. Disponível em: https://atos.cnj.jus.br/atos/detalhar/6001.</w:t>
      </w:r>
    </w:p>
    <w:p>
      <w:pPr>
        <w:spacing w:after="40" w:line="240" w:lineRule="auto"/>
        <w:jc w:val="left"/>
      </w:pPr>
      <w:r>
        <w:rPr>
          <w:rFonts w:ascii="Times New Roman" w:hAnsi="Times New Roman"/>
          <w:sz w:val="21"/>
        </w:rPr>
        <w:t>PAGE, Matthew J. et al. The PRISMA 2020 statement: an updated guideline for reporting systematic reviews. BMJ, v. 372, n. 71, 2021. DOI: 10.1136/bmj.n71. Disponível em: https://doi.org/10.1136/bmj.n71.</w:t>
      </w:r>
    </w:p>
    <w:p>
      <w:pPr>
        <w:spacing w:after="40" w:line="240" w:lineRule="auto"/>
        <w:jc w:val="left"/>
      </w:pPr>
      <w:r>
        <w:rPr>
          <w:rFonts w:ascii="Times New Roman" w:hAnsi="Times New Roman"/>
          <w:sz w:val="21"/>
        </w:rPr>
        <w:t>PETERS, Micah D. J. et al. Updated methodological guidance for the conduct of scoping reviews. JBI Evidence Synthesis, v. 18, n. 10, p. 2119-2126, 2020. DOI: 10.11124/JBIES-20-00167. Disponível em: https://doi.org/10.11124/JBIES-20-00167.</w:t>
      </w:r>
    </w:p>
    <w:p>
      <w:pPr>
        <w:spacing w:after="40" w:line="240" w:lineRule="auto"/>
        <w:jc w:val="left"/>
      </w:pPr>
      <w:r>
        <w:rPr>
          <w:rFonts w:ascii="Times New Roman" w:hAnsi="Times New Roman"/>
          <w:sz w:val="21"/>
        </w:rPr>
        <w:t>TRICCO, Andrea C. et al. PRISMA Extension for Scoping Reviews (PRISMA-ScR): checklist and explanation. Annals of Internal Medicine, v. 169, p. 467-473, 2018.</w:t>
      </w:r>
    </w:p>
    <w:p>
      <w:pPr>
        <w:spacing w:after="40" w:line="240" w:lineRule="auto"/>
        <w:jc w:val="left"/>
      </w:pPr>
      <w:r>
        <w:rPr>
          <w:rFonts w:ascii="Times New Roman" w:hAnsi="Times New Roman"/>
          <w:sz w:val="21"/>
        </w:rPr>
        <w:t>UNESCO; MIAO, Fengchun; HOLMES, Wayne. Guidance for generative AI in education and research. Paris: UNESCO, 2023. DOI: 10.54675/EWZM9535. Disponível em: https://doi.org/10.54675/EWZM9535.</w:t>
      </w:r>
    </w:p>
    <w:p>
      <w:pPr>
        <w:spacing w:after="40" w:line="240" w:lineRule="auto"/>
        <w:jc w:val="left"/>
      </w:pPr>
      <w:r>
        <w:rPr>
          <w:rFonts w:ascii="Times New Roman" w:hAnsi="Times New Roman"/>
          <w:sz w:val="21"/>
        </w:rPr>
        <w:t>UNIÃO EUROPEIA. Regulamento (UE) 2024/1689 do Parlamento Europeu e do Conselho, de 13 de junho de 2024, que estabelece regras harmonizadas em matéria de inteligência artificial. Disponível em: https://eur-lex.europa.eu/eli/reg/2024/1689/oj/por.</w:t>
      </w:r>
    </w:p>
    <w:p>
      <w:pPr>
        <w:spacing w:after="40"/>
      </w:pPr>
      <w:r>
        <w:rPr>
          <w:rFonts w:ascii="Times New Roman" w:hAnsi="Times New Roman"/>
          <w:b/>
          <w:sz w:val="21"/>
        </w:rPr>
        <w:t>Referências de apoio metodológico, normativo e contextual: fora do corpus analítico</w:t>
      </w:r>
    </w:p>
    <w:p>
      <w:pPr>
        <w:spacing w:after="40" w:line="240" w:lineRule="auto"/>
        <w:jc w:val="left"/>
      </w:pPr>
      <w:r>
        <w:rPr>
          <w:rFonts w:ascii="Times New Roman" w:hAnsi="Times New Roman"/>
          <w:sz w:val="21"/>
        </w:rPr>
        <w:t>VALENCIA JIMÉNEZ, Carla Alessandra; BELTRÁN PACHECO, Jorge Alberto. Dilemas éticos de la Inteligencia Artificial en la práctica legal: Revisión Sistemática. Revista Tribunal, v. 5, n. 12, p. 748-766, 2025. DOI: 10.59659/revistatribunal.v5i12.235. Disponível em: https://doi.org/10.59659/revistatribunal.v5i12.235.</w:t>
      </w:r>
    </w:p>
    <w:p>
      <w:pPr>
        <w:spacing w:after="40" w:line="240" w:lineRule="auto"/>
        <w:jc w:val="left"/>
      </w:pPr>
      <w:r>
        <w:rPr>
          <w:rFonts w:ascii="Times New Roman" w:hAnsi="Times New Roman"/>
          <w:sz w:val="21"/>
        </w:rPr>
        <w:t>PAULA, Gil César Costa de. Inteligência artificial generativa: desafios para o ensino jurídico superior brasileiro. Revista OWL, v. 4, n. 5, p. 1-22, 2026. DOI: 10.5281/zenodo.19966396. Disponível em: https://doi.org/10.5281/zenodo.19966396.</w:t>
      </w:r>
    </w:p>
    <w:p>
      <w:pPr>
        <w:spacing w:after="40"/>
      </w:pPr>
      <w:r>
        <w:rPr>
          <w:rFonts w:ascii="Times New Roman" w:hAnsi="Times New Roman"/>
          <w:b/>
          <w:sz w:val="21"/>
        </w:rPr>
        <w:t>Estudos incluídos no corpus analítico (n = 21)</w:t>
      </w:r>
    </w:p>
    <w:p>
      <w:pPr>
        <w:spacing w:after="40"/>
      </w:pPr>
      <w:r>
        <w:rPr>
          <w:rFonts w:ascii="Times New Roman" w:hAnsi="Times New Roman"/>
          <w:sz w:val="21"/>
        </w:rPr>
        <w:t>KOROYE, Tamarakemiebi; SIKPI, Donald. GenAI as Whetstone: A Socratic Framework for Sharpening Critical Thinking in Legal Education. Law, Technology and Humans, v. 7, n. 3, p. 14-32, 2025. DOI: 10.5204/lthj.4053. Disponível em: https://doi.org/10.5204/lthj.4053.</w:t>
      </w:r>
    </w:p>
    <w:p>
      <w:pPr>
        <w:spacing w:after="40"/>
      </w:pPr>
      <w:r>
        <w:rPr>
          <w:rFonts w:ascii="Times New Roman" w:hAnsi="Times New Roman"/>
          <w:sz w:val="21"/>
        </w:rPr>
        <w:t>LANDY, Nicole. Early PLT Student Perceptions of the Integration of Generative Artificial Intelligence in Legal Education. Law, Technology and Humans, v. 7, n. 3, p. 33-51, 2025. DOI: 10.5204/lthj.4031. Disponível em: https://doi.org/10.5204/lthj.4031.</w:t>
      </w:r>
    </w:p>
    <w:p>
      <w:pPr>
        <w:spacing w:after="40"/>
      </w:pPr>
      <w:r>
        <w:rPr>
          <w:rFonts w:ascii="Times New Roman" w:hAnsi="Times New Roman"/>
          <w:sz w:val="21"/>
        </w:rPr>
        <w:t>BABOOLAL-FRANK, Rashri; PAPADOPOULOS, Sylvia; SCHOEMAN, Elsabe. Humans v machine: the AFSA-UP moot court experiment with ChatGPT 4.0 (April 2024). De Jure Law Journal, v. 58, n. 1, p. 282-327, 2025. DOI: 10.17159/2225-7160/2025/v58a15. Disponível em: https://doi.org/10.17159/2225-7160/2025/v58a15.</w:t>
      </w:r>
    </w:p>
    <w:p>
      <w:pPr>
        <w:spacing w:after="40"/>
      </w:pPr>
      <w:r>
        <w:rPr>
          <w:rFonts w:ascii="Times New Roman" w:hAnsi="Times New Roman"/>
          <w:sz w:val="21"/>
        </w:rPr>
        <w:t>HYDE-VAAMONDE, Cari; KELLER, Anat. Testing the Frontier: Generative AI in Legal Education and Beyond. Law, Technology and Humans, v. 7, n. 3, p. 52-61, 2025. DOI: 10.5204/lthj.4037. Disponível em: https://doi.org/10.5204/lthj.4037.</w:t>
      </w:r>
    </w:p>
    <w:p>
      <w:pPr>
        <w:spacing w:after="40"/>
      </w:pPr>
      <w:r>
        <w:rPr>
          <w:rFonts w:ascii="Times New Roman" w:hAnsi="Times New Roman"/>
          <w:sz w:val="21"/>
        </w:rPr>
        <w:t>PRAKASH G, Aswathy; NAIR, Vishnu. Integrating Generative AI into Legal Education: From Casebooks to Code, Opportunities and Challenges. Law, Technology and Humans, v. 6, n. 3, p. 60-79, 2024. DOI: 10.5204/lthj.3640. Disponível em: https://doi.org/10.5204/lthj.3640.</w:t>
      </w:r>
    </w:p>
    <w:p>
      <w:pPr>
        <w:spacing w:after="40"/>
      </w:pPr>
      <w:r>
        <w:rPr>
          <w:rFonts w:ascii="Times New Roman" w:hAnsi="Times New Roman"/>
          <w:sz w:val="21"/>
        </w:rPr>
        <w:t>HARGREAVES, Stuart. ‘Words are Flowing Out Like Endless Rain Into a Paper Cup’: ChatGPT &amp; Law School Assessments. Legal Education Review, v. 33, n. 1, p. 69-105, 2023. DOI: 10.53300/001c.83297. Disponível em: https://doi.org/10.53300/001c.83297.</w:t>
      </w:r>
    </w:p>
    <w:p>
      <w:pPr>
        <w:spacing w:after="40"/>
      </w:pPr>
      <w:r>
        <w:rPr>
          <w:rFonts w:ascii="Times New Roman" w:hAnsi="Times New Roman"/>
          <w:sz w:val="21"/>
        </w:rPr>
        <w:t>SOUZA, Eduardo Nunes de. Ensino jurídico e inteligência artificial: primeiro esboço de uma abordagem civil-constitucional. Pensar, Fortaleza, v. 28, n. 2, p. 1-22, 2023. DOI: 10.5020/2317-2150.2023.14450. Disponível em: https://doi.org/10.5020/2317-2150.2023.14450.</w:t>
      </w:r>
    </w:p>
    <w:p>
      <w:pPr>
        <w:spacing w:after="40"/>
      </w:pPr>
      <w:r>
        <w:rPr>
          <w:rFonts w:ascii="Times New Roman" w:hAnsi="Times New Roman"/>
          <w:sz w:val="21"/>
        </w:rP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 Disponível em: https://doi.org/10.58210/rie3840.</w:t>
      </w:r>
    </w:p>
    <w:p>
      <w:pPr>
        <w:spacing w:after="40"/>
      </w:pPr>
      <w:r>
        <w:rPr>
          <w:rFonts w:ascii="Times New Roman" w:hAnsi="Times New Roman"/>
          <w:sz w:val="21"/>
        </w:rPr>
        <w:t>BEURON, Bruno Mello Corrêa de Barros; MAURMANN, Andressa Silveira Viana. Inteligência artificial e Direito Digital: as novas metodologias no ensino jurídico e os desafios éticos para construção do aprendizado e do desenvolvimento crítico. In: 7º Congresso Internacional de Direito e Contemporaneidade: mídias e direitos da sociedade em rede. Santa Maria: UFSM, 2024. Disponível em: https://www.ufsm.br/cursos/pos-graduacao/santa-maria/ppgd/congresso-de-direito-7a-edicao.</w:t>
      </w:r>
    </w:p>
    <w:p>
      <w:pPr>
        <w:spacing w:after="40"/>
      </w:pPr>
      <w:r>
        <w:rPr>
          <w:rFonts w:ascii="Times New Roman" w:hAnsi="Times New Roman"/>
          <w:sz w:val="21"/>
        </w:rPr>
        <w:t>RADOMYSLER, Clio Nudel; ARAUJO, Carla Renata Barbosa; COSTA, Enya Carolina Silva da; LEMES, Maurício Buosi; SOSTER, Tatiana Sansone. Inteligência artificial generativa na educação judicial: desafios e boas práticas. THEMIS: Revista da Esmec, v. 23, n. 1, p. 17-41, 2025. DOI: 10.56256/themis.v23i1.1110. Disponível em: https://doi.org/10.56256/themis.v23i1.1110.</w:t>
      </w:r>
    </w:p>
    <w:p>
      <w:pPr>
        <w:spacing w:after="40"/>
      </w:pPr>
      <w:r>
        <w:rPr>
          <w:rFonts w:ascii="Times New Roman" w:hAnsi="Times New Roman"/>
          <w:sz w:val="21"/>
        </w:rPr>
        <w:t>ABAL, Felipe Cittolin; PILATI, Adriana Fasolo. Inteligência artificial no ensino jurídico: experiências com GPTs personalizados. International Journal of Digital Law, v. 6, e609, 2025. DOI: 10.47975/ijdl.v.6.1302. Disponível em: https://doi.org/10.47975/ijdl.v.6.1302.</w:t>
      </w:r>
    </w:p>
    <w:p>
      <w:pPr>
        <w:spacing w:after="40"/>
      </w:pPr>
      <w:r>
        <w:rPr>
          <w:rFonts w:ascii="Times New Roman" w:hAnsi="Times New Roman"/>
          <w:sz w:val="21"/>
        </w:rPr>
        <w:t>FORNASIER, Mateus de Oliveira. Legal Education in the 21st Century and the Artificial Intelligence. Revista Opinião Jurídica (Fortaleza), v. 19, n. 31, p. 1-32, 2021. DOI: 10.12662/2447-6641oj.v19i31.p1-32.2021. Disponível em: https://doi.org/10.12662/2447-6641oj.v19i31.p1-32.2021.</w:t>
      </w:r>
    </w:p>
    <w:p>
      <w:pPr>
        <w:spacing w:after="40"/>
      </w:pPr>
      <w:r>
        <w:rPr>
          <w:rFonts w:ascii="Times New Roman" w:hAnsi="Times New Roman"/>
          <w:sz w:val="21"/>
        </w:rPr>
        <w:t>SALES, Ana Débora Rocha. As metodologias ativas no ensino jurídico: aplicabilidade na inteligência artificial. Revista de Argumentação e Hermenêutica Jurídica, v. 8, n. 1, p. 34-56, 2022. DOI: 10.26668/IndexLawJournals/2526-0103/2022.v8i1.8937. Disponível em: https://doi.org/10.26668/IndexLawJournals/2526-0103/2022.v8i1.8937.</w:t>
      </w:r>
    </w:p>
    <w:p>
      <w:pPr>
        <w:spacing w:after="40"/>
      </w:pPr>
      <w:r>
        <w:rPr>
          <w:rFonts w:ascii="Times New Roman" w:hAnsi="Times New Roman"/>
          <w:sz w:val="21"/>
        </w:rPr>
        <w:t>RYAN, Francine; HARDIE, Liz. ChatGPT, I Have a Legal Question? The Impact of Generative AI Tools on Law Clinics and Access to Justice. International Journal of Clinical Legal Education, v. 31, n. 1, 2024. DOI: 10.19164/ijcle.v31i1.1401. Disponível em: https://doi.org/10.19164/ijcle.v31i1.1401.</w:t>
      </w:r>
    </w:p>
    <w:p>
      <w:pPr>
        <w:spacing w:after="40"/>
      </w:pPr>
      <w:r>
        <w:rPr>
          <w:rFonts w:ascii="Times New Roman" w:hAnsi="Times New Roman"/>
          <w:sz w:val="21"/>
        </w:rPr>
        <w:t>ABBASI, Zubair. Responsible Legal Augmentation: Integrating Generative AI into Legal Practice. Law, Technology and Humans, v. 7, n. 3, p. 5-13, 2025. DOI: 10.5204/lthj.4200. Disponível em: https://doi.org/10.5204/lthj.4200.</w:t>
      </w:r>
    </w:p>
    <w:p>
      <w:pPr>
        <w:spacing w:after="40"/>
      </w:pPr>
      <w:r>
        <w:rPr>
          <w:rFonts w:ascii="Times New Roman" w:hAnsi="Times New Roman"/>
          <w:sz w:val="21"/>
        </w:rPr>
        <w:t>CURLIN IV, James H. ChatGPT Didn't Write This... or Did It? The emergence of generative AI in the legal field and lessons from Mata v. Avianca. Arkansas Law Review, v. 78, n. 1, art. 6, 2025. DOI: 10.54119/alr.mlrt4575. Disponível em: https://doi.org/10.54119/alr.mlrt4575.</w:t>
      </w:r>
    </w:p>
    <w:p>
      <w:pPr>
        <w:spacing w:after="40"/>
      </w:pPr>
      <w:r>
        <w:rPr>
          <w:rFonts w:ascii="Times New Roman" w:hAnsi="Times New Roman"/>
          <w:sz w:val="21"/>
        </w:rPr>
        <w:t>ABBASI, Muhammad Zubair. Scaling Artificial Intelligence for Augmented Learning: developing a generative AI evaluation scale through a case study in Islamic inheritance law. Journal of Digital Islamicate Research, 2025. DOI: 10.1163/27732363-20250002. Disponível em: https://doi.org/10.1163/27732363-20250002.</w:t>
      </w:r>
    </w:p>
    <w:p>
      <w:pPr>
        <w:spacing w:after="40"/>
      </w:pPr>
      <w:r>
        <w:rPr>
          <w:rFonts w:ascii="Times New Roman" w:hAnsi="Times New Roman"/>
          <w:sz w:val="21"/>
        </w:rPr>
        <w:t>ALIMARDANI, Armin. Generative artificial intelligence vs. law students: an empirical study on criminal law exam performance. Law, Innovation and Technology, v. 16, n. 2, p. 777-819, 2024. DOI: 10.1080/17579961.2024.2392932. Disponível em: https://doi.org/10.1080/17579961.2024.2392932.</w:t>
      </w:r>
    </w:p>
    <w:p>
      <w:pPr>
        <w:spacing w:after="40"/>
      </w:pPr>
      <w:r>
        <w:rPr>
          <w:rFonts w:ascii="Times New Roman" w:hAnsi="Times New Roman"/>
          <w:sz w:val="21"/>
        </w:rPr>
        <w:t>WARTENBERG, Katrin. E-Learning with an AI Learning Assistant for Legal Education in Public Administration. International Journal of Advanced Corporate Learning (iJAC), v. 18, n. 4, p. 69-77, 2025. DOI: 10.3991/ijac.v18i4.57923. Disponível em: https://doi.org/10.3991/ijac.v18i4.57923.</w:t>
      </w:r>
    </w:p>
    <w:p>
      <w:pPr>
        <w:spacing w:after="40"/>
      </w:pPr>
      <w:r>
        <w:rPr>
          <w:rFonts w:ascii="Times New Roman" w:hAnsi="Times New Roman"/>
          <w:sz w:val="21"/>
        </w:rPr>
        <w:t>MATTHEE, Jacques; STOPFORTH, Grey. The Importance of Ethical and Responsible AI Training in Law Schools to Avoid Career-Ending Pitfalls for Aspiring Attorneys. Journal for Juridical Science, v. 50, n. 1, p. 49-67, 2025. DOI: 10.38140/jjs.v50i1.9302. Disponível em: https://doi.org/10.38140/jjs.v50i1.9302.</w:t>
      </w:r>
    </w:p>
    <w:p>
      <w:pPr>
        <w:spacing w:after="40"/>
      </w:pPr>
      <w:r>
        <w:rPr>
          <w:rFonts w:ascii="Times New Roman" w:hAnsi="Times New Roman"/>
          <w:sz w:val="21"/>
        </w:rPr>
        <w:t>RAMASWAMY, M. P. Evolving Norms Governing AI Engagement in Legal Practice and the Prospective Alignment of Law School Curriculum. UCP Journal of Law &amp; Legal Education, v. 2, n. 2, p. 28-53, 2024. DOI: 10.24312/ucp-jlle.02.02.349. Disponível em: https://doi.org/10.24312/ucp-jlle.02.02.349.</w:t>
      </w:r>
    </w:p>
    <w:p>
      <w:pPr>
        <w:spacing w:after="40"/>
      </w:pPr>
      <w:r>
        <w:rPr>
          <w:rFonts w:ascii="Times New Roman" w:hAnsi="Times New Roman"/>
          <w:b/>
          <w:sz w:val="21"/>
        </w:rPr>
        <w:t>Literatura contextual da atualização de 2026: não incluída no denominador n = 21</w:t>
      </w:r>
    </w:p>
    <w:p>
      <w:pPr>
        <w:spacing w:after="40"/>
      </w:pPr>
      <w:r>
        <w:rPr>
          <w:rFonts w:ascii="Times New Roman" w:hAnsi="Times New Roman"/>
          <w:sz w:val="21"/>
        </w:rPr>
        <w:t>LORTEAU, Steve; SARRO, Douglas. Artificial intelligence in legal education: a scoping review. The Law Teacher, v. 60, n. 1, p. 138-162, 2026. DOI: 10.1080/03069400.2025.2592440. Disponível em: https://doi.org/10.1080/03069400.2025.2592440.</w:t>
      </w:r>
    </w:p>
    <w:p>
      <w:pPr>
        <w:spacing w:after="40"/>
      </w:pPr>
      <w:r>
        <w:rPr>
          <w:rFonts w:ascii="Times New Roman" w:hAnsi="Times New Roman"/>
          <w:sz w:val="21"/>
        </w:rPr>
        <w:t>SCHREPEL, Thibault. Generative AI in legal education: a two-year experiment with ChatGPT. Law, Innovation and Technology, v. 18, n. 1, p. 1-42, 2026. DOI: 10.1080/17579961.2026.2633673. Disponível em: https://doi.org/10.1080/17579961.2026.2633673.</w:t>
      </w:r>
    </w:p>
    <w:sectPr>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