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rPr>
      </w:r>
    </w:p>
    <w:p>
      <w:pPr>
        <w:spacing w:after="40"/>
      </w:pPr>
      <w:r>
        <w:rPr>
          <w:rFonts w:ascii="Times New Roman" w:hAnsi="Times New Roman"/>
        </w:rPr>
      </w:r>
    </w:p>
    <w:p>
      <w:pPr>
        <w:spacing w:after="80" w:before="0" w:line="240" w:lineRule="auto"/>
        <w:ind w:firstLine="0"/>
        <w:jc w:val="center"/>
      </w:pPr>
      <w:r>
        <w:rPr>
          <w:rFonts w:ascii="Times New Roman" w:hAnsi="Times New Roman"/>
        </w:rPr>
        <w:t>IA GENERATIVA NA EDUCAÇÃO JURÍDICA BRASILEIRA</w:t>
        <w:br/>
        <w:t>ENTRE A REGULAÇÃO E A SALA DE AULA</w:t>
      </w:r>
    </w:p>
    <w:p>
      <w:pPr>
        <w:spacing w:after="360" w:before="0" w:line="240" w:lineRule="auto"/>
        <w:ind w:firstLine="0"/>
        <w:jc w:val="center"/>
      </w:pPr>
      <w:r>
        <w:rPr>
          <w:rFonts w:ascii="Times New Roman" w:hAnsi="Times New Roman"/>
        </w:rPr>
        <w:t>Revisão de escopo Brasil-comparado sobre ética, governança algorítmica e equidade (2020-2026)</w:t>
      </w:r>
    </w:p>
    <w:p>
      <w:pPr>
        <w:jc w:val="center"/>
      </w:pPr>
      <w:r>
        <w:rPr>
          <w:rFonts w:ascii="Times New Roman" w:hAnsi="Times New Roman"/>
        </w:rPr>
        <w:t>GENERATIVE AI IN BRAZILIAN LEGAL EDUCATION: BETWEEN REGULATION AND THE CLASSROOM</w:t>
      </w:r>
    </w:p>
    <w:p>
      <w:pPr>
        <w:spacing w:after="400" w:before="0" w:line="240" w:lineRule="auto"/>
        <w:ind w:firstLine="0"/>
        <w:jc w:val="center"/>
      </w:pPr>
      <w:r>
        <w:rPr>
          <w:rFonts w:ascii="Times New Roman" w:hAnsi="Times New Roman"/>
        </w:rPr>
      </w:r>
    </w:p>
    <w:p>
      <w:pPr>
        <w:spacing w:after="120" w:before="0" w:line="240" w:lineRule="auto"/>
        <w:ind w:firstLine="0"/>
        <w:jc w:val="center"/>
      </w:pPr>
      <w:r>
        <w:rPr>
          <w:rFonts w:ascii="Times New Roman" w:hAnsi="Times New Roman"/>
        </w:rPr>
      </w:r>
    </w:p>
    <w:p>
      <w:pPr>
        <w:spacing w:after="240" w:before="0" w:line="240" w:lineRule="auto"/>
        <w:ind w:firstLine="0"/>
        <w:jc w:val="center"/>
      </w:pPr>
      <w:r>
        <w:rPr>
          <w:rFonts w:ascii="Times New Roman" w:hAnsi="Times New Roman"/>
        </w:rPr>
      </w:r>
    </w:p>
    <w:p>
      <w:r>
        <w:rPr>
          <w:rFonts w:ascii="Times New Roman" w:hAnsi="Times New Roman"/>
        </w:rPr>
      </w:r>
    </w:p>
    <w:p>
      <w:pPr>
        <w:pStyle w:val="Heading1"/>
        <w:spacing w:after="120" w:before="240" w:line="240" w:lineRule="auto"/>
        <w:jc w:val="center"/>
      </w:pPr>
      <w:r>
        <w:rPr>
          <w:rFonts w:ascii="Times New Roman" w:hAnsi="Times New Roman"/>
        </w:rPr>
        <w:t>RESUMO</w:t>
      </w:r>
    </w:p>
    <w:p>
      <w:pPr>
        <w:spacing w:after="160" w:before="0" w:line="240" w:lineRule="auto"/>
        <w:ind w:firstLine="0"/>
        <w:jc w:val="both"/>
      </w:pPr>
      <w:r>
        <w:rPr>
          <w:rFonts w:ascii="Times New Roman" w:hAnsi="Times New Roman"/>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recuperada nas bases abertas pesquisadas,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permanece sub-representado (D6 = 38,1%), embora abordagens pedagógicas com IA como método sejam ainda menos frequentes (D5 = 42,9%).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rPr>
        <w:t>Palavras-chave: 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rPr>
        <w:t>ABSTRACT</w:t>
      </w:r>
    </w:p>
    <w:p>
      <w:pPr>
        <w:spacing w:after="160" w:before="0" w:line="240" w:lineRule="auto"/>
        <w:ind w:firstLine="0"/>
        <w:jc w:val="both"/>
      </w:pPr>
      <w:r>
        <w:rPr>
          <w:rFonts w:ascii="Times New Roman" w:hAnsi="Times New Roman"/>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retrieved from the open databases searched and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remains underrepresented (D6 = 38.1%), although pedagogical approaches using AI as a method are even less frequent (D5 = 42.9%).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rPr>
        <w:t>Keywords: generative artificial intelligence; legal education; ethics; algorithmic governance; equity; scoping review.</w:t>
      </w:r>
    </w:p>
    <w:p>
      <w:pPr>
        <w:pStyle w:val="Heading1"/>
        <w:spacing w:after="120" w:before="240" w:line="240" w:lineRule="auto"/>
        <w:jc w:val="left"/>
      </w:pPr>
      <w:r>
        <w:rPr>
          <w:rFonts w:ascii="Times New Roman" w:hAnsi="Times New Roman"/>
        </w:rPr>
        <w:t>1 INTRODUÇÃO</w:t>
      </w:r>
    </w:p>
    <w:p>
      <w:pPr>
        <w:spacing w:after="120" w:before="0" w:line="360" w:lineRule="auto"/>
        <w:ind w:firstLine="709"/>
        <w:jc w:val="both"/>
      </w:pPr>
      <w:r>
        <w:rPr>
          <w:rFonts w:ascii="Times New Roman" w:hAnsi="Times New Roman"/>
        </w:rPr>
        <w:t>A chegada de ferramentas de inteligência artificial generativa (IAGen) de acesso público: ChatGPT (nov. 2022), Gemini e congêneres: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(2026), em análise documental de 13 documentos + AI Act/UNESCO/LGPD, são consistentes com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sob risco de plágio, alucinação e viés.</w:t>
      </w:r>
    </w:p>
    <w:p>
      <w:pPr>
        <w:spacing w:after="120" w:before="0" w:line="360" w:lineRule="auto"/>
        <w:ind w:firstLine="709"/>
        <w:jc w:val="both"/>
      </w:pPr>
      <w:r>
        <w:rPr>
          <w:rFonts w:ascii="Times New Roman" w:hAnsi="Times New Roman"/>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rPr>
        <w:t>2 REFERENCIAL TEÓRICO</w:t>
      </w:r>
    </w:p>
    <w:p>
      <w:pPr>
        <w:pStyle w:val="Heading2"/>
        <w:spacing w:after="120" w:before="240" w:line="240" w:lineRule="auto"/>
        <w:jc w:val="left"/>
      </w:pPr>
      <w:r>
        <w:rPr>
          <w:rFonts w:ascii="Times New Roman" w:hAnsi="Times New Roman"/>
        </w:rPr>
        <w:t>2.1 IA Generativa, LLMs e educação: o que está em jogo</w:t>
      </w:r>
    </w:p>
    <w:p>
      <w:pPr>
        <w:spacing w:after="120" w:before="0" w:line="360" w:lineRule="auto"/>
        <w:ind w:firstLine="709"/>
        <w:jc w:val="both"/>
      </w:pPr>
      <w:r>
        <w:rPr>
          <w:rFonts w:ascii="Times New Roman" w:hAnsi="Times New Roman"/>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menos de 10% tinham políticas formais: e que a validação deve ser dupla: ética e pedagógica, humanocêntrica, com proteção de agência humana, inclusão, equidade e diversidade linguístico-cultural. O horizonte EdGPT: modelos fundacionais refinados com conhecimento pedagógico e de interação professor-estudante: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rPr>
        <w:t>2.2 Educação jurídica brasileira: DCNs, currículo e avaliação sob IAGen</w:t>
      </w:r>
    </w:p>
    <w:p>
      <w:pPr>
        <w:spacing w:after="120" w:before="0" w:line="360" w:lineRule="auto"/>
        <w:ind w:firstLine="709"/>
        <w:jc w:val="both"/>
      </w:pPr>
      <w:r>
        <w:rPr>
          <w:rFonts w:ascii="Times New Roman" w:hAnsi="Times New Roman"/>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rPr>
        <w:t>2.3 Marcos normativos em perspectiva comparada (2020-2026)</w:t>
      </w:r>
    </w:p>
    <w:p>
      <w:pPr>
        <w:spacing w:after="120" w:before="0" w:line="360" w:lineRule="auto"/>
        <w:ind w:firstLine="709"/>
        <w:jc w:val="both"/>
      </w:pPr>
      <w:r>
        <w:rPr>
          <w:rFonts w:ascii="Times New Roman" w:hAnsi="Times New Roman"/>
        </w:rPr>
        <w:t>Brasil. O PL 2.338/2023 estrutura-se em fundamentos (centralidade da pessoa humana, direitos humanos, educação para cidadania: art. 2º XIII, proteção de vulneráveis e de crianças/adolescentes: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inovação brasileira.</w:t>
      </w:r>
    </w:p>
    <w:p>
      <w:pPr>
        <w:spacing w:after="120" w:before="0" w:line="360" w:lineRule="auto"/>
        <w:ind w:firstLine="709"/>
        <w:jc w:val="both"/>
      </w:pPr>
      <w:r>
        <w:rPr>
          <w:rFonts w:ascii="Times New Roman" w:hAnsi="Times New Roman"/>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rPr>
        <w:t>Art. 14, II, PL 2.338/2023: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rPr>
        <w:t>2.4 Transparência Hermenêutica como princípio operacional</w:t>
      </w:r>
    </w:p>
    <w:p>
      <w:pPr>
        <w:spacing w:after="120" w:before="0" w:line="360" w:lineRule="auto"/>
        <w:ind w:firstLine="709"/>
        <w:jc w:val="both"/>
      </w:pPr>
      <w:r>
        <w:rPr>
          <w:rFonts w:ascii="Times New Roman" w:hAnsi="Times New Roman"/>
        </w:rPr>
        <w:t>Carmo e Alves (2026)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notadamente a tipicidade fechada do direito tributário (Queiroz; Baleeiro/Derzi):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rPr>
        <w:t>3 MÉTODO</w:t>
      </w:r>
    </w:p>
    <w:p>
      <w:pPr>
        <w:pStyle w:val="Heading2"/>
        <w:spacing w:after="120" w:before="240" w:line="240" w:lineRule="auto"/>
        <w:jc w:val="left"/>
      </w:pPr>
      <w:r>
        <w:rPr>
          <w:rFonts w:ascii="Times New Roman" w:hAnsi="Times New Roman"/>
        </w:rPr>
        <w:t>3.1 Desenho e diretriz de relato</w:t>
      </w:r>
    </w:p>
    <w:p>
      <w:pPr>
        <w:spacing w:after="120" w:before="0" w:line="360" w:lineRule="auto"/>
        <w:ind w:firstLine="709"/>
        <w:jc w:val="both"/>
      </w:pPr>
      <w:r>
        <w:rPr>
          <w:rFonts w:ascii="Times New Roman" w:hAnsi="Times New Roman"/>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rPr>
        <w:t>3.2 Protocolo e registro</w:t>
      </w:r>
    </w:p>
    <w:p>
      <w:pPr>
        <w:spacing w:after="120" w:before="0" w:line="360" w:lineRule="auto"/>
        <w:ind w:firstLine="709"/>
        <w:jc w:val="both"/>
      </w:pPr>
      <w:r>
        <w:rPr>
          <w:rFonts w:ascii="Times New Roman" w:hAnsi="Times New Roman"/>
        </w:rPr>
        <w:t>O protocolo não foi pré-registrado antes da execução. Para preservar a transparência temporal, eventual depósito no Open Science Framework será identificado como retrospectivo e versionado, acompanhado das strings de busca, critérios de elegibilidade, formulário de extração, emendas e documentos de rastreabilidade disponíveis.</w:t>
      </w:r>
    </w:p>
    <w:p>
      <w:pPr>
        <w:pStyle w:val="Heading2"/>
        <w:spacing w:after="120" w:before="240" w:line="240" w:lineRule="auto"/>
        <w:jc w:val="left"/>
      </w:pPr>
      <w:r>
        <w:rPr>
          <w:rFonts w:ascii="Times New Roman" w:hAnsi="Times New Roman"/>
        </w:rPr>
        <w:t>3.3 Pergunta e escopo</w:t>
      </w:r>
    </w:p>
    <w:p>
      <w:pPr>
        <w:spacing w:after="120" w:before="0" w:line="360" w:lineRule="auto"/>
        <w:ind w:firstLine="709"/>
        <w:jc w:val="both"/>
      </w:pPr>
      <w:r>
        <w:rPr>
          <w:rFonts w:ascii="Times New Roman" w:hAnsi="Times New Roman"/>
        </w:rPr>
        <w:t>Pergunta principal: que evidências, princípios e lacunas a literatura científica recuperada nas bases abertas pesquisadas, entre 2020 e 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rPr>
        <w:t>3.4 Fontes de informação e busca</w:t>
      </w:r>
    </w:p>
    <w:p>
      <w:pPr>
        <w:spacing w:after="120" w:before="0" w:line="360" w:lineRule="auto"/>
        <w:ind w:firstLine="709"/>
        <w:jc w:val="both"/>
      </w:pPr>
      <w:r>
        <w:rPr>
          <w:rFonts w:ascii="Times New Roman" w:hAnsi="Times New Roman"/>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rPr>
        <w:t>3.5 Elegibilidade</w:t>
      </w:r>
    </w:p>
    <w:p>
      <w:pPr>
        <w:spacing w:after="120" w:before="0" w:line="360" w:lineRule="auto"/>
        <w:ind w:firstLine="709"/>
        <w:jc w:val="both"/>
      </w:pPr>
      <w:r>
        <w:rPr>
          <w:rFonts w:ascii="Times New Roman" w:hAnsi="Times New Roman"/>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rPr>
        <w:t>3.6 Seleção e extração</w:t>
      </w:r>
    </w:p>
    <w:p>
      <w:pPr>
        <w:spacing w:after="120" w:before="0" w:line="360" w:lineRule="auto"/>
        <w:ind w:firstLine="709"/>
        <w:jc w:val="both"/>
      </w:pPr>
      <w:r>
        <w:rPr>
          <w:rFonts w:ascii="Times New Roman" w:hAnsi="Times New Roman"/>
        </w:rPr>
        <w:t>A triagem de elegibilidade foi realizada por dois revisores humanos independentes (RH1 e RH2), em instrumentos cegos que declaravam não conter as decisões da outra série. Ambos registraram avaliação pessoal e aplicação dos critérios vigentes aos registros disponibilizados. A concordância interavaliadores foi estimada pelo coeficiente κ de Cohen sobre 30 registros classificados por ambos.</w:t>
      </w:r>
    </w:p>
    <w:p>
      <w:pPr>
        <w:pStyle w:val="Heading2"/>
        <w:spacing w:after="120" w:before="240" w:line="240" w:lineRule="auto"/>
        <w:jc w:val="left"/>
      </w:pPr>
      <w:r>
        <w:rPr>
          <w:rFonts w:ascii="Times New Roman" w:hAnsi="Times New Roman"/>
        </w:rPr>
        <w:t>3.7 Síntese</w:t>
      </w:r>
    </w:p>
    <w:p>
      <w:pPr>
        <w:spacing w:after="120" w:before="0" w:line="360" w:lineRule="auto"/>
        <w:ind w:firstLine="709"/>
        <w:jc w:val="both"/>
      </w:pPr>
      <w:r>
        <w:rPr>
          <w:rFonts w:ascii="Times New Roman" w:hAnsi="Times New Roman"/>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rPr>
        <w:t>3.8 Integridade, ética e transparência</w:t>
      </w:r>
    </w:p>
    <w:p>
      <w:pPr>
        <w:spacing w:after="120" w:before="0" w:line="360" w:lineRule="auto"/>
        <w:ind w:firstLine="709"/>
        <w:jc w:val="both"/>
      </w:pPr>
      <w:r>
        <w:rPr>
          <w:rFonts w:ascii="Times New Roman" w:hAnsi="Times New Roman"/>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r>
        <w:rPr>
          <w:rFonts w:ascii="Times New Roman" w:hAnsi="Times New Roman"/>
        </w:rPr>
        <w:t>3.9 Auditabilidade, materiais suplementares e limitações da busca</w:t>
      </w:r>
    </w:p>
    <w:p>
      <w:r>
        <w:rPr>
          <w:rFonts w:ascii="Times New Roman" w:hAnsi="Times New Roman"/>
        </w:rPr>
        <w:t>A revisão adota o PRISMA-ScR como diretriz de relato. Para reprodutibilidade, o pacote suplementar deve acompanhar a submissão com: (a) checklist PRISMA-ScR preenchido; (b) strings integrais e filtros de cada consulta efetivamente executada em OpenAlex e DOAJ, com data e quantidade recuperada; (c) log de busca e deduplicação; (d) matriz de extração versionada; (e) lista de registros avaliados em texto completo com razões de exclusão; e (f) protocolo retrospectivo/versionado ou documento metodológico equivalente. Como Scopus, Web of Science, Portal CAPES, ERIC, HeinOnline/SSRN, Google Scholar e a varredura completa de SciELO não integraram de forma auditável a execução principal, os achados devem ser interpretados como mapeamento das bases abertas efetivamente pesquisadas, e não como cobertura exaustiva da literatura científica.</w:t>
      </w:r>
    </w:p>
    <w:p>
      <w:pPr>
        <w:pStyle w:val="Heading1"/>
        <w:spacing w:after="120" w:before="240" w:line="240" w:lineRule="auto"/>
        <w:jc w:val="left"/>
      </w:pPr>
      <w:r>
        <w:rPr>
          <w:rFonts w:ascii="Times New Roman" w:hAnsi="Times New Roman"/>
        </w:rPr>
        <w:t>4 RESULTADOS</w:t>
      </w:r>
    </w:p>
    <w:p>
      <w:pPr>
        <w:spacing w:after="120" w:before="0" w:line="360" w:lineRule="auto"/>
        <w:ind w:firstLine="0"/>
        <w:jc w:val="center"/>
      </w:pPr>
      <w:r>
        <w:rPr>
          <w:rFonts w:ascii="Times New Roman" w:hAnsi="Times New Roman"/>
        </w:rP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rPr>
          <w:rFonts w:ascii="Times New Roman" w:hAnsi="Times New Roman"/>
        </w:rPr>
      </w:r>
    </w:p>
    <w:p>
      <w:pPr>
        <w:pStyle w:val="Heading2"/>
        <w:spacing w:after="120" w:before="240" w:line="240" w:lineRule="auto"/>
        <w:jc w:val="left"/>
      </w:pPr>
      <w:r>
        <w:rPr>
          <w:rFonts w:ascii="Times New Roman" w:hAnsi="Times New Roman"/>
        </w:rPr>
        <w:t>4.1 Fluxograma PRISMA-ScR e caracterização dos estudos incluídos</w:t>
      </w:r>
    </w:p>
    <w:p>
      <w:r>
        <w:rPr>
          <w:rFonts w:ascii="Times New Roman" w:hAnsi="Times New Roman"/>
        </w:rPr>
        <w:t>Razões de exclusão na avaliação final: A01 foi excluído por foco educacional insuficientemente central (E2); B02, N03 e N12, por ausência de método próprio/identificável compatível (E4); C07, N06, N09, N10 e N16 não tiveram texto completo recuperado por rota legítima durante a execução (E6) e não integram o corpus. O corpus analítico final permaneceu em n = 21.</w:t>
      </w:r>
    </w:p>
    <w:p>
      <w:pPr>
        <w:spacing w:after="120" w:before="0" w:line="360" w:lineRule="auto"/>
        <w:ind w:firstLine="709"/>
        <w:jc w:val="both"/>
      </w:pPr>
      <w:r>
        <w:rPr>
          <w:rFonts w:ascii="Times New Roman" w:hAnsi="Times New Roman"/>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rPr>
          <w:rFonts w:ascii="Times New Roman" w:hAnsi="Times New Roman"/>
        </w:rPr>
      </w:r>
    </w:p>
    <w:p>
      <w:pPr>
        <w:spacing w:before="120" w:after="80"/>
        <w:jc w:val="center"/>
      </w:pPr>
      <w:r>
        <w:rPr>
          <w:rFonts w:ascii="Times New Roman" w:hAnsi="Times New Roman"/>
        </w:rPr>
      </w:r>
    </w:p>
    <w:p>
      <w:pPr>
        <w:spacing w:after="160"/>
        <w:jc w:val="center"/>
      </w:pPr>
      <w:r>
        <w:rPr>
          <w:rFonts w:ascii="Times New Roman" w:hAnsi="Times New Roman"/>
        </w:rPr>
        <w:t>Figura 1 - Fluxo de identificação, triagem, elegibilidade e inclusão dos estudos (2020-2026).</w:t>
      </w:r>
    </w:p>
    <w:p>
      <w:pPr>
        <w:spacing w:after="200"/>
        <w:jc w:val="center"/>
      </w:pPr>
      <w:r>
        <w:rPr>
          <w:rFonts w:ascii="Times New Roman" w:hAnsi="Times New Roman"/>
        </w:rPr>
        <w:t>Fonte: elaboração dos autores com base no log de execução e na matriz de extração.</w:t>
      </w:r>
    </w:p>
    <w:p>
      <w:pPr>
        <w:pStyle w:val="Heading2"/>
        <w:spacing w:after="120" w:before="240" w:line="240" w:lineRule="auto"/>
        <w:jc w:val="left"/>
      </w:pPr>
      <w:r>
        <w:rPr>
          <w:rFonts w:ascii="Times New Roman" w:hAnsi="Times New Roman"/>
        </w:rPr>
        <w:t>4.2 Frequências observadas das dimensões analíticas e dos eixos temáticos</w:t>
      </w:r>
    </w:p>
    <w:p>
      <w:pPr>
        <w:spacing w:after="120" w:before="0" w:line="360" w:lineRule="auto"/>
        <w:ind w:firstLine="709"/>
        <w:jc w:val="both"/>
      </w:pPr>
      <w:r>
        <w:rPr>
          <w:rFonts w:ascii="Times New Roman" w:hAnsi="Times New Roman"/>
        </w:rP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r>
              <w:t>9</w:t>
            </w:r>
          </w:p>
        </w:tc>
        <w:tc>
          <w:tcPr>
            <w:tcW w:type="dxa" w:w="1191"/>
            <w:vAlign w:val="center"/>
            <w:tcMar>
              <w:top w:w="80" w:type="dxa"/>
              <w:start w:w="90" w:type="dxa"/>
              <w:bottom w:w="80" w:type="dxa"/>
              <w:end w:w="90" w:type="dxa"/>
            </w:tcMar>
          </w:tcPr>
          <w:p>
            <w:r>
              <w:t>42,9%</w:t>
            </w:r>
          </w:p>
        </w:tc>
        <w:tc>
          <w:tcPr>
            <w:tcW w:type="dxa" w:w="4195"/>
            <w:vAlign w:val="center"/>
            <w:tcMar>
              <w:top w:w="80" w:type="dxa"/>
              <w:start w:w="90" w:type="dxa"/>
              <w:bottom w:w="80" w:type="dxa"/>
              <w:end w:w="90" w:type="dxa"/>
            </w:tcMar>
          </w:tcPr>
          <w:p>
            <w:r>
              <w:t>B04, B08, C03, C04, N02, N07, N08, N11, N13</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rPr>
        <w:t>Fonte: elaboração dos autores a partir da matriz de extração validada.</w:t>
      </w:r>
    </w:p>
    <w:p>
      <w:pPr>
        <w:jc w:val="left"/>
        <w:pageBreakBefore w:val="1"/>
      </w:pPr>
      <w:r>
        <w:rPr>
          <w:rFonts w:ascii="Times New Roman" w:hAnsi="Times New Roman"/>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rPr>
        <w:t>Fonte: elaboração dos autores a partir da matriz de extração validada.</w:t>
      </w:r>
    </w:p>
    <w:p>
      <w:r>
        <w:rPr>
          <w:rFonts w:ascii="Times New Roman" w:hAnsi="Times New Roman"/>
        </w:rP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r>
        <w:rPr>
          <w:rFonts w:ascii="Times New Roman" w:hAnsi="Times New Roman"/>
        </w:rPr>
        <w:t>Correspondência nominal do corpus. Os 21 registros incluídos são: Koroye e Sikpi (2025, B01), Landy (2025, B03), Baboolal-Frank, Papadopoulos e Schoeman (2025, B04), Hyde-Vaamonde e Keller (2025, B05), Prakash G e Nair (2024, B06), Hargreaves (2023, B08), Nunes de Souza (2023, B09), Carmo e Alves (2026, C01), Beuron e Maurmann (2024, C02), Radomysler et al. (2025, C03), Abal e Pilati (2025, C04), Fornasier (2021, C05), Sales (2022, C06), Ryan e Hardie (2024, N02), Abbasi (2025, N04), Curlin IV (2025, N07), Abbasi (2025, N08), Alimardani (2024, N11), Wartenberg (2025, N13), Matthee e Stopforth (2025, N14) e Ramaswamy (2024, N15). Essa enumeração funciona como chave de rastreabilidade entre os IDs usados nas Tabelas 1-2 e as referências bibliográficas; as interpretações temáticas permanecem vinculadas à matriz de extração e não decorrem apenas da presença nominal de uma referência.</w:t>
      </w:r>
    </w:p>
    <w:p>
      <w:r>
        <w:rPr>
          <w:rFonts w:ascii="Times New Roman" w:hAnsi="Times New Roman"/>
        </w:rPr>
        <w:t>Concordância interavaliadores. Nos 30 registros classificados por RH1 e RH2, houve concordância em todas as decisões: 21 registros foram classificados como inclusão por ambos e 9 como exclusão por ambos, sem células discordantes. Assim, Po = 1,000; Pe = (0,700² + 0,300²) = 0,580; e κ de Cohen = 1,000. O coeficiente expressa concordância perfeita entre as classificações registradas e não implica, por si só, validade perfeita das decisões de elegibilidade.</w:t>
      </w:r>
    </w:p>
    <w:p>
      <w:pPr>
        <w:pStyle w:val="Heading2"/>
      </w:pPr>
      <w:r>
        <w:rPr>
          <w:rFonts w:ascii="Times New Roman" w:hAnsi="Times New Roman"/>
        </w:rPr>
        <w:t>4.3 Síntese temática</w:t>
      </w:r>
    </w:p>
    <w:p>
      <w:r>
        <w:rPr>
          <w:rFonts w:ascii="Times New Roman" w:hAnsi="Times New Roman"/>
        </w:rP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42,9%).</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rFonts w:ascii="Times New Roman" w:hAnsi="Times New Roman"/>
        </w:rPr>
        <w:t>A ampliação do corpus para 21 estudos incorporou evidências internacionais que refinam o mapa de convergências. No plano empírico, o quase-experimento australiano de Alimardani (2024,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rFonts w:ascii="Times New Roman" w:hAnsi="Times New Roman"/>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evidência de que D4 (Ética e responsabilidade) e E3 (Dados/Privacidade) se consolidam como eixos operacionais, não apenas teóricos.</w:t>
      </w:r>
    </w:p>
    <w:p>
      <w:pPr>
        <w:spacing w:after="40"/>
      </w:pPr>
      <w:r>
        <w:rPr>
          <w:rFonts w:ascii="Times New Roman" w:hAnsi="Times New Roman"/>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rPr>
          <w:rFonts w:ascii="Times New Roman" w:hAnsi="Times New Roman"/>
        </w:rPr>
        <w:t>5 DISCUSSÃO</w:t>
      </w:r>
    </w:p>
    <w:p>
      <w:pPr>
        <w:spacing w:after="40"/>
      </w:pPr>
      <w:r>
        <w:rPr>
          <w:rFonts w:ascii="Times New Roman" w:hAnsi="Times New Roman"/>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alternativa concreta à proibição genérica e à adoção acrítica.</w:t>
      </w:r>
    </w:p>
    <w:p>
      <w:pPr>
        <w:spacing w:after="120" w:before="0" w:line="360" w:lineRule="auto"/>
        <w:ind w:firstLine="709"/>
        <w:jc w:val="both"/>
      </w:pPr>
      <w:r>
        <w:rPr>
          <w:rFonts w:ascii="Times New Roman" w:hAnsi="Times New Roman"/>
        </w:rPr>
        <w:t>Quatro proposições orientam a interpretação dos resultados observados:</w:t>
        <w:br/>
        <w:br/>
        <w:t>(1) A literatura do período privilegia análise normativa (D1 = 95,2%) sobre avaliação pedagógica (D5 = 42,9%), configurando assimetria norma-prática: há abundância de marcos regulatórios e princípios, mas escassez de evidências sobre a incorporação da IAGen nas salas de aula de Direito.</w:t>
        <w:br/>
        <w:br/>
        <w:t>(2) Equidade e acesso à justiça constituem a dimensão menos frequente (D6 = 38,1%), mesmo quando a revisão de escopo concorrente de Lorteau &amp; Sarro (2026): com 82 obras de 26 jurisdições: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rFonts w:ascii="Times New Roman" w:hAnsi="Times New Roman"/>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rPr>
        <w:t>5.1 Da norma à prática pedagógica</w:t>
      </w:r>
    </w:p>
    <w:p>
      <w:pPr>
        <w:spacing w:after="40"/>
      </w:pPr>
      <w:r>
        <w:rPr>
          <w:rFonts w:ascii="Times New Roman" w:hAnsi="Times New Roman"/>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rPr>
          <w:rFonts w:ascii="Times New Roman" w:hAnsi="Times New Roman"/>
        </w:rPr>
        <w:t>Nove dos 21 estudos apresentam abordagens pedagógicas com IA como método (D5): B04, B08, C03, C04, N02, N07, N08, N11 e N13. Nesta versão, C04 e N13 foram reconciliados com a matriz porque descrevem uso pedagógico operacional de IA, e não apenas discussão normativa. A frequência de D5 foi, portanto, recalculada para 9/21 (42,9%). Essa recodificação não altera o corpus n = 21, apenas a frequência da dimensão D5.</w:t>
      </w:r>
    </w:p>
    <w:p>
      <w:pPr>
        <w:spacing w:after="40"/>
      </w:pPr>
      <w:r>
        <w:rPr>
          <w:rFonts w:ascii="Times New Roman" w:hAnsi="Times New Roman"/>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a lacuna permanece, agora com denominador explícito n = 21, como agenda prioritária para o campo brasileiro.</w:t>
      </w:r>
    </w:p>
    <w:p>
      <w:pPr>
        <w:pStyle w:val="Heading2"/>
        <w:spacing w:after="120" w:before="240" w:line="240" w:lineRule="auto"/>
        <w:jc w:val="left"/>
      </w:pPr>
      <w:r>
        <w:rPr>
          <w:rFonts w:ascii="Times New Roman" w:hAnsi="Times New Roman"/>
        </w:rPr>
        <w:t>5.2 Perspectiva comparada</w:t>
      </w:r>
    </w:p>
    <w:p>
      <w:pPr>
        <w:spacing w:after="120" w:before="0" w:line="360" w:lineRule="auto"/>
        <w:ind w:firstLine="709"/>
        <w:jc w:val="both"/>
      </w:pPr>
      <w:r>
        <w:rPr>
          <w:rFonts w:ascii="Times New Roman" w:hAnsi="Times New Roman"/>
        </w:rP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rPr>
        <w:t>5.3 Equidade e governança algorítmica</w:t>
      </w:r>
    </w:p>
    <w:p>
      <w:pPr>
        <w:spacing w:after="120" w:before="0" w:line="360" w:lineRule="auto"/>
        <w:ind w:firstLine="709"/>
        <w:jc w:val="both"/>
      </w:pPr>
      <w:r>
        <w:rPr>
          <w:rFonts w:ascii="Times New Roman" w:hAnsi="Times New Roman"/>
        </w:rP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rPr>
          <w:rFonts w:ascii="Times New Roman" w:hAnsi="Times New Roman"/>
        </w:rPr>
        <w:t>6 CONCLUSÃO</w:t>
      </w:r>
    </w:p>
    <w:p>
      <w:pPr>
        <w:spacing w:after="120" w:before="0" w:line="360" w:lineRule="auto"/>
        <w:ind w:firstLine="709"/>
        <w:jc w:val="both"/>
      </w:pPr>
      <w:r>
        <w:rPr>
          <w:rFonts w:ascii="Times New Roman" w:hAnsi="Times New Roman"/>
        </w:rP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(42,9%); (v) formação docente como recomendação emergente (52,4%). As pendências documentadas (SciELO bloqueada, preprints, 5 paywalls internacionais não recuperados: C07, N06, N09, N10, N16: e 2 candidatos 2026 com paywall: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rPr>
        <w:t>DECLARAÇÕES</w:t>
      </w:r>
    </w:p>
    <w:p>
      <w:pPr>
        <w:spacing w:after="120" w:before="0" w:line="360" w:lineRule="auto"/>
        <w:ind w:firstLine="0"/>
        <w:jc w:val="both"/>
      </w:pPr>
      <w:r>
        <w:rPr>
          <w:rFonts w:ascii="Times New Roman" w:hAnsi="Times New Roman"/>
        </w:rPr>
        <w:t>Financiamento: O estudo não recebeu financiamento específico.</w:t>
      </w:r>
    </w:p>
    <w:p>
      <w:pPr>
        <w:spacing w:after="120" w:before="0" w:line="360" w:lineRule="auto"/>
        <w:ind w:firstLine="0"/>
        <w:jc w:val="both"/>
      </w:pPr>
      <w:r>
        <w:rPr>
          <w:rFonts w:ascii="Times New Roman" w:hAnsi="Times New Roman"/>
        </w:rPr>
        <w:t>Conflitos de interesses: Nenhum conflito de interesses a declarar.</w:t>
      </w:r>
    </w:p>
    <w:p>
      <w:pPr>
        <w:spacing w:after="120" w:before="0" w:line="360" w:lineRule="auto"/>
        <w:ind w:firstLine="0"/>
        <w:jc w:val="both"/>
      </w:pPr>
      <w:r>
        <w:rPr>
          <w:rFonts w:ascii="Times New Roman" w:hAnsi="Times New Roman"/>
        </w:rPr>
        <w:t>Contribuições CRediT: autoria única (declarada na folha de identificação separada): conceptualização, metodologia, investigação, curadoria de dados, análise formal, escrita: revisão e edição.</w:t>
      </w:r>
    </w:p>
    <w:p>
      <w:pPr>
        <w:spacing w:after="120" w:before="0" w:line="360" w:lineRule="auto"/>
        <w:ind w:firstLine="0"/>
        <w:jc w:val="both"/>
      </w:pPr>
      <w:r>
        <w:rPr>
          <w:rFonts w:ascii="Times New Roman" w:hAnsi="Times New Roman"/>
        </w:rPr>
        <w:t>Disponibilidade de dados: o protocolo não foi pré-registrado. O pacote de rastreabilidade da revisão (matriz de extração, log, strings de busca, razões de exclusão e checklist PRISMA-ScR) deve ser depositado em repositório persistente e versionado antes da submissão ou fornecido como material suplementar. Até a disponibilização de um identificador persistente, não se declara URL/DOI de dados inexistente.</w:t>
      </w:r>
    </w:p>
    <w:p>
      <w:pPr>
        <w:spacing w:after="120" w:before="0" w:line="360" w:lineRule="auto"/>
        <w:ind w:firstLine="0"/>
        <w:jc w:val="both"/>
      </w:pPr>
      <w:r>
        <w:rPr>
          <w:rFonts w:ascii="Times New Roman" w:hAnsi="Times New Roman"/>
        </w:rPr>
        <w:t>Uso de inteligência artificial: ferramentas de IA generativa foram utilizadas como apoio técnico em etapas delimitadas de organização, auditoria bibliográfica e edição textual. A triagem de elegibilidade foi realizada por dois revisores humanos independentes (RH1 e RH2), e as decisões de inclusão/exclusão permaneceram sob responsabilidade humana.</w:t>
      </w:r>
    </w:p>
    <w:p>
      <w:pPr>
        <w:spacing w:after="120" w:before="0" w:line="360" w:lineRule="auto"/>
        <w:ind w:firstLine="0"/>
        <w:jc w:val="both"/>
      </w:pPr>
      <w:r>
        <w:rPr>
          <w:rFonts w:ascii="Times New Roman" w:hAnsi="Times New Roman"/>
        </w:rPr>
        <w:t>Autoria e afiliação: devem constar apenas na folha de identificação separada, conforme as instruções atuais do periódico-alvo.</w:t>
      </w:r>
    </w:p>
    <w:p>
      <w:r>
        <w:rPr>
          <w:rFonts w:ascii="Times New Roman" w:hAnsi="Times New Roman"/>
        </w:rPr>
        <w:t>Nota de delimitação bibliográfica. O corpus analítico é composto pelos 21 estudos identificados na subseção correspondente das referências. Referências metodológicas, normativas e contextuais sustentam o desenho e a discussão, mas não integram os denominadores das sínteses. Lorteau e Sarro e Schrepel permanecem como literatura contextual da atualização de 2026 e não integram n = 21.</w:t>
      </w:r>
    </w:p>
    <w:p>
      <w:pPr>
        <w:pStyle w:val="Heading1"/>
        <w:spacing w:after="40" w:before="240" w:line="240" w:lineRule="auto"/>
        <w:jc w:val="left"/>
      </w:pPr>
      <w:r>
        <w:rPr>
          <w:rFonts w:ascii="Times New Roman" w:hAnsi="Times New Roman"/>
        </w:rPr>
        <w:t>REFERÊNCIAS</w:t>
      </w:r>
    </w:p>
    <w:p>
      <w:pPr>
        <w:spacing w:after="40" w:line="240" w:lineRule="auto"/>
        <w:jc w:val="left"/>
      </w:pPr>
      <w:r>
        <w:rPr>
          <w:rFonts w:ascii="Times New Roman" w:hAnsi="Times New Roman"/>
        </w:rPr>
        <w:t>BRASIL. Lei n. 13.709, de 14 de agosto de 2018. Lei Geral de Proteção de Dados Pessoais. Disponível em: https://www.planalto.gov.br/ccivil_03/_ato2015-2018/2018/lei/l13709compilado.htm.</w:t>
      </w:r>
    </w:p>
    <w:p>
      <w:pPr>
        <w:spacing w:after="40" w:line="240" w:lineRule="auto"/>
        <w:jc w:val="left"/>
      </w:pPr>
      <w:r>
        <w:rPr>
          <w:rFonts w:ascii="Times New Roman" w:hAnsi="Times New Roman"/>
        </w:rPr>
        <w:t>BRASIL. Senado Federal. Projeto de Lei n. 2.338, de 2023. Dispõe sobre o uso da inteligência artificial. Situação legislativa: aprovado no Senado Federal em dezembro de 2024 e remetido à Câmara dos Deputados; acompanhamento legislativo consultado em 18 set. 2026. Disponível em: https://www.camara.leg.br/proposicoesWeb/fichadetramitacao/?idProposicao=2487262.</w:t>
      </w:r>
    </w:p>
    <w:p>
      <w:pPr>
        <w:spacing w:after="40" w:line="240" w:lineRule="auto"/>
        <w:jc w:val="left"/>
      </w:pPr>
      <w:r>
        <w:rPr>
          <w:rFonts w:ascii="Times New Roman" w:hAnsi="Times New Roman"/>
        </w:rPr>
        <w:t>BRASIL. Conselho Nacional de Justiça. Resolução n. 615, de 11 de março de 2025. Estabelece diretrizes para o desenvolvimento, utilização e governança de soluções de inteligência artificial no Poder Judiciário. Disponível em: https://atos.cnj.jus.br/atos/detalhar/6001.</w:t>
      </w:r>
    </w:p>
    <w:p>
      <w:pPr>
        <w:spacing w:after="40" w:line="240" w:lineRule="auto"/>
        <w:jc w:val="left"/>
      </w:pPr>
      <w:r>
        <w:rPr>
          <w:rFonts w:ascii="Times New Roman" w:hAnsi="Times New Roman"/>
        </w:rPr>
        <w:t>PAGE, Matthew J. et al. The PRISMA 2020 statement: an updated guideline for reporting systematic reviews. BMJ, v. 372, n. 71, 2021. DOI: 10.1136/bmj.n71. Disponível em: https://doi.org/10.1136/bmj.n71.</w:t>
      </w:r>
    </w:p>
    <w:p>
      <w:pPr>
        <w:spacing w:after="40" w:line="240" w:lineRule="auto"/>
        <w:jc w:val="left"/>
      </w:pPr>
      <w:r>
        <w:rPr>
          <w:rFonts w:ascii="Times New Roman" w:hAnsi="Times New Roman"/>
        </w:rPr>
        <w:t>PETERS, Micah D. J. et al. Updated methodological guidance for the conduct of scoping reviews. JBI Evidence Synthesis, v. 18, n. 10, p. 2119-2126, 2020. DOI: 10.11124/JBIES-20-00167. Disponível em: https://doi.org/10.11124/JBIES-20-00167.</w:t>
      </w:r>
    </w:p>
    <w:p>
      <w:pPr>
        <w:spacing w:after="40" w:line="240" w:lineRule="auto"/>
        <w:jc w:val="left"/>
      </w:pPr>
      <w:r>
        <w:rPr>
          <w:rFonts w:ascii="Times New Roman" w:hAnsi="Times New Roman"/>
        </w:rPr>
        <w:t>TRICCO, Andrea C. et al. PRISMA Extension for Scoping Reviews (PRISMA-ScR): checklist and explanation. Annals of Internal Medicine, v. 169, p. 467-473, 2018. DOI: 10.7326/M18-0850. Disponível em: https://doi.org/10.7326/M18-0850.</w:t>
      </w:r>
    </w:p>
    <w:p>
      <w:pPr>
        <w:spacing w:after="40" w:line="240" w:lineRule="auto"/>
        <w:jc w:val="left"/>
      </w:pPr>
      <w:r>
        <w:rPr>
          <w:rFonts w:ascii="Times New Roman" w:hAnsi="Times New Roman"/>
        </w:rPr>
        <w:t>UNESCO; MIAO, Fengchun; HOLMES, Wayne. Guidance for generative AI in education and research. Paris: UNESCO, 2023. DOI: 10.54675/EWZM9535. Disponível em: https://doi.org/10.54675/EWZM9535.</w:t>
      </w:r>
    </w:p>
    <w:p>
      <w:pPr>
        <w:spacing w:after="40" w:line="240" w:lineRule="auto"/>
        <w:jc w:val="left"/>
      </w:pPr>
      <w:r>
        <w:rPr>
          <w:rFonts w:ascii="Times New Roman" w:hAnsi="Times New Roman"/>
        </w:rPr>
        <w:t>UNIÃO EUROPEIA. Regulamento (UE) 2024/1689 do Parlamento Europeu e do Conselho, de 13 de junho de 2024, que estabelece regras harmonizadas em matéria de inteligência artificial. Disponível em: https://eur-lex.europa.eu/eli/reg/2024/1689/oj/por.</w:t>
      </w:r>
    </w:p>
    <w:p>
      <w:r>
        <w:rPr>
          <w:rFonts w:ascii="Times New Roman" w:hAnsi="Times New Roman"/>
        </w:rPr>
        <w:t>COHEN, Jacob. A coefficient of agreement for nominal scales. Educational and Psychological Measurement, v. 20, n. 1, p. 37-46, 1960. DOI: 10.1177/001316446002000104. Disponível em: https://doi.org/10.1177/001316446002000104.</w:t>
      </w:r>
    </w:p>
    <w:p>
      <w:pPr>
        <w:spacing w:after="40"/>
      </w:pPr>
      <w:r>
        <w:rPr>
          <w:rFonts w:ascii="Times New Roman" w:hAnsi="Times New Roman"/>
        </w:rPr>
        <w:t>Referências de apoio metodológico, normativo e contextual: fora do corpus analítico</w:t>
      </w:r>
    </w:p>
    <w:p>
      <w:pPr>
        <w:spacing w:after="40" w:line="240" w:lineRule="auto"/>
        <w:jc w:val="left"/>
      </w:pPr>
      <w:r>
        <w:rPr>
          <w:rFonts w:ascii="Times New Roman" w:hAnsi="Times New Roman"/>
        </w:rPr>
        <w:t>VALENCIA JIMÉNEZ, Carla Alessandra; BELTRÁN PACHECO, Jorge Alberto. Dilemas éticos de la Inteligencia Artificial en la práctica legal: Revisión Sistemática. Revista Tribunal, v. 5, n. 12, p. 748-766, 2025. DOI: 10.59659/revistatribunal.v5i12.235. Disponível em: https://doi.org/10.59659/revistatribunal.v5i12.235.</w:t>
      </w:r>
    </w:p>
    <w:p>
      <w:pPr>
        <w:spacing w:after="40" w:line="240" w:lineRule="auto"/>
        <w:jc w:val="left"/>
      </w:pPr>
      <w:r>
        <w:rPr>
          <w:rFonts w:ascii="Times New Roman" w:hAnsi="Times New Roman"/>
        </w:rPr>
        <w:t>PAULA, Gil César Costa de. Inteligência artificial generativa: desafios para o ensino jurídico superior brasileiro. Revista OWL, v. 4, n. 5, p. 1-22, 2026. DOI: 10.5281/zenodo.19966396. Disponível em: https://doi.org/10.5281/zenodo.19966396.</w:t>
      </w:r>
    </w:p>
    <w:p>
      <w:pPr>
        <w:spacing w:after="40"/>
      </w:pPr>
      <w:r>
        <w:rPr>
          <w:rFonts w:ascii="Times New Roman" w:hAnsi="Times New Roman"/>
        </w:rPr>
        <w:t>Estudos incluídos no corpus analítico (n = 21)</w:t>
      </w:r>
    </w:p>
    <w:p>
      <w:pPr>
        <w:spacing w:after="40"/>
      </w:pPr>
      <w:r>
        <w:rPr>
          <w:rFonts w:ascii="Times New Roman" w:hAnsi="Times New Roman"/>
        </w:rPr>
        <w:t>KOROYE, Tamarakemiebi; SIKPI, Donald. GenAI as Whetstone: A Socratic Framework for Sharpening Critical Thinking in Legal Education. Law, Technology and Humans, v. 7, n. 3, p. 14-32, 2025. DOI: 10.5204/lthj.4053. Disponível em: https://doi.org/10.5204/lthj.4053.</w:t>
      </w:r>
    </w:p>
    <w:p>
      <w:pPr>
        <w:spacing w:after="40"/>
      </w:pPr>
      <w:r>
        <w:rPr>
          <w:rFonts w:ascii="Times New Roman" w:hAnsi="Times New Roman"/>
        </w:rPr>
        <w:t>LANDY, Nicole. Early PLT Student Perceptions of the Integration of Generative Artificial Intelligence in Legal Education. Law, Technology and Humans, v. 7, n. 3, p. 33-51, 2025. DOI: 10.5204/lthj.4031. Disponível em: https://doi.org/10.5204/lthj.4031.</w:t>
      </w:r>
    </w:p>
    <w:p>
      <w:pPr>
        <w:spacing w:after="40"/>
      </w:pPr>
      <w:r>
        <w:rPr>
          <w:rFonts w:ascii="Times New Roman" w:hAnsi="Times New Roman"/>
        </w:rPr>
        <w:t>BABOOLAL-FRANK, Rashri; PAPADOPOULOS, Sylvia; SCHOEMAN, Elsabe. Humans v machine: the AFSA-UP moot court experiment with ChatGPT 4.0 (April 2024). De Jure Law Journal, v. 58, n. 1, p. 282-301, 2025. DOI: 10.17159/2225-7160/2025/v58a15. Disponível em: https://doi.org/10.17159/2225-7160/2025/v58a15.</w:t>
      </w:r>
    </w:p>
    <w:p>
      <w:pPr>
        <w:spacing w:after="40"/>
      </w:pPr>
      <w:r>
        <w:rPr>
          <w:rFonts w:ascii="Times New Roman" w:hAnsi="Times New Roman"/>
        </w:rPr>
        <w:t>HYDE-VAAMONDE, Cari; KELLER, Anat. Testing the Frontier: Generative AI in Legal Education and Beyond. Law, Technology and Humans, v. 7, n. 3, p. 52-61, 2025. DOI: 10.5204/lthj.4037. Disponível em: https://doi.org/10.5204/lthj.4037.</w:t>
      </w:r>
    </w:p>
    <w:p>
      <w:pPr>
        <w:spacing w:after="40"/>
      </w:pPr>
      <w:r>
        <w:rPr>
          <w:rFonts w:ascii="Times New Roman" w:hAnsi="Times New Roman"/>
        </w:rPr>
        <w:t>PRAKASH G, Aswathy; NAIR, Vishnu. Integrating Generative AI into Legal Education: From Casebooks to Code, Opportunities and Challenges. Law, Technology and Humans, v. 6, n. 3, p. 60-79, 2024. DOI: 10.5204/lthj.3640. Disponível em: https://doi.org/10.5204/lthj.3640.</w:t>
      </w:r>
    </w:p>
    <w:p>
      <w:pPr>
        <w:spacing w:after="40"/>
      </w:pPr>
      <w:r>
        <w:rPr>
          <w:rFonts w:ascii="Times New Roman" w:hAnsi="Times New Roman"/>
        </w:rPr>
        <w:t>HARGREAVES, Stuart. ‘Words are Flowing Out Like Endless Rain Into a Paper Cup’: ChatGPT &amp; Law School Assessments. Legal Education Review, v. 33, n. 1, p. 69-105, 2023. DOI: 10.53300/001c.83297. Disponível em: https://doi.org/10.53300/001c.83297.</w:t>
      </w:r>
    </w:p>
    <w:p>
      <w:pPr>
        <w:spacing w:after="40"/>
      </w:pPr>
      <w:r>
        <w:rPr>
          <w:rFonts w:ascii="Times New Roman" w:hAnsi="Times New Roman"/>
        </w:rPr>
        <w:t>SOUZA, Eduardo Nunes de. Ensino jurídico e inteligência artificial: primeiro esboço de uma abordagem civil-constitucional. Pensar, Fortaleza, v. 28, n. 2, p. 1-22, 2023. DOI: 10.5020/2317-2150.2023.14450. Disponível em: https://doi.org/10.5020/2317-2150.2023.14450.</w:t>
      </w:r>
    </w:p>
    <w:p>
      <w:pPr>
        <w:spacing w:after="40"/>
      </w:pPr>
      <w:r>
        <w:rPr>
          <w:rFonts w:ascii="Times New Roman" w:hAnsi="Times New Roman"/>
        </w:rP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 Disponível em: https://doi.org/10.58210/rie3840.</w:t>
      </w:r>
    </w:p>
    <w:p>
      <w:pPr>
        <w:spacing w:after="40"/>
      </w:pPr>
      <w:r>
        <w:rPr>
          <w:rFonts w:ascii="Times New Roman" w:hAnsi="Times New Roman"/>
        </w:rPr>
        <w:t>BEURON, Bruno Mello Corrêa de Barros; MAURMANN, Andressa Silveira Viana. Inteligência artificial e Direito Digital: as novas metodologias no ensino jurídico e os desafios éticos para construção do aprendizado e do desenvolvimento crítico. In: 7º Congresso Internacional de Direito e Contemporaneidade: mídias e direitos da sociedade em rede. Santa Maria: UFSM, 2024. Disponível em: https://www.ufsm.br/cursos/pos-graduacao/santa-maria/ppgd/congresso-de-direito-7a-edicao.</w:t>
      </w:r>
    </w:p>
    <w:p>
      <w:pPr>
        <w:spacing w:after="40"/>
      </w:pPr>
      <w:r>
        <w:rPr>
          <w:rFonts w:ascii="Times New Roman" w:hAnsi="Times New Roman"/>
        </w:rPr>
        <w:t>RADOMYSLER, Clio Nudel; ARAUJO, Carla Renata Barbosa; COSTA, Enya Carolina Silva da; LEMES, Maurício Buosi; SOSTER, Tatiana Sansone. Inteligência artificial generativa na educação judicial: desafios e boas práticas. THEMIS: Revista da Esmec, v. 23, n. 1, p. 17-41, 2025. DOI: 10.56256/themis.v23i1.1110. Disponível em: https://doi.org/10.56256/themis.v23i1.1110.</w:t>
      </w:r>
    </w:p>
    <w:p>
      <w:pPr>
        <w:spacing w:after="40"/>
      </w:pPr>
      <w:r>
        <w:rPr>
          <w:rFonts w:ascii="Times New Roman" w:hAnsi="Times New Roman"/>
        </w:rPr>
        <w:t>ABAL, Felipe Cittolin; PILATI, Adriana Fasolo. Inteligência artificial no ensino jurídico: experiências com GPTs personalizados. International Journal of Digital Law, v. 6, e609, 2025. DOI: 10.47975/ijdl.v.6.1302. Disponível em: https://doi.org/10.47975/ijdl.v.6.1302.</w:t>
      </w:r>
    </w:p>
    <w:p>
      <w:pPr>
        <w:spacing w:after="40"/>
      </w:pPr>
      <w:r>
        <w:rPr>
          <w:rFonts w:ascii="Times New Roman" w:hAnsi="Times New Roman"/>
        </w:rPr>
        <w:t>FORNASIER, Mateus de Oliveira. Legal Education in the 21st Century and the Artificial Intelligence. Revista Opinião Jurídica (Fortaleza), v. 19, n. 31, p. 1-32, 2021. DOI: 10.12662/2447-6641oj.v19i31.p1-32.2021. Disponível em: https://doi.org/10.12662/2447-6641oj.v19i31.p1-32.2021.</w:t>
      </w:r>
    </w:p>
    <w:p>
      <w:pPr>
        <w:spacing w:after="40"/>
      </w:pPr>
      <w:r>
        <w:rPr>
          <w:rFonts w:ascii="Times New Roman" w:hAnsi="Times New Roman"/>
        </w:rPr>
        <w:t>SALES, Ana Débora Rocha. As metodologias ativas no ensino jurídico: aplicabilidade na inteligência artificial. Revista de Argumentação e Hermenêutica Jurídica, v. 8, n. 1, p. 34-56, 2022. DOI: 10.26668/IndexLawJournals/2526-0103/2022.v8i1.8937. Disponível em: https://doi.org/10.26668/IndexLawJournals/2526-0103/2022.v8i1.8937.</w:t>
      </w:r>
    </w:p>
    <w:p>
      <w:pPr>
        <w:spacing w:after="40"/>
      </w:pPr>
      <w:r>
        <w:rPr>
          <w:rFonts w:ascii="Times New Roman" w:hAnsi="Times New Roman"/>
        </w:rPr>
        <w:t>RYAN, Francine; HARDIE, Liz. ChatGPT, I Have a Legal Question? The Impact of Generative AI Tools on Law Clinics and Access to Justice. International Journal of Clinical Legal Education, v. 31, n. 1, 2024. DOI: 10.19164/ijcle.v31i1.1401. Disponível em: https://doi.org/10.19164/ijcle.v31i1.1401.</w:t>
      </w:r>
    </w:p>
    <w:p>
      <w:pPr>
        <w:spacing w:after="40"/>
      </w:pPr>
      <w:r>
        <w:rPr>
          <w:rFonts w:ascii="Times New Roman" w:hAnsi="Times New Roman"/>
        </w:rPr>
        <w:t>ABBASI, Zubair. Responsible Legal Augmentation: Integrating Generative AI into Legal Practice. Law, Technology and Humans, v. 7, n. 3, p. 5-13, 2025. DOI: 10.5204/lthj.4200. Disponível em: https://doi.org/10.5204/lthj.4200.</w:t>
      </w:r>
    </w:p>
    <w:p>
      <w:pPr>
        <w:spacing w:after="40"/>
      </w:pPr>
      <w:r>
        <w:rPr>
          <w:rFonts w:ascii="Times New Roman" w:hAnsi="Times New Roman"/>
        </w:rPr>
        <w:t>CURLIN IV, James H. ChatGPT Didn't Write This... or Did It? The emergence of generative AI in the legal field and lessons from Mata v. Avianca. Arkansas Law Review, v. 78, n. 1, art. 6, 2025. DOI: 10.54119/alr.mlrt4575. Disponível em: https://doi.org/10.54119/alr.mlrt4575.</w:t>
      </w:r>
    </w:p>
    <w:p>
      <w:pPr>
        <w:spacing w:after="40"/>
      </w:pPr>
      <w:r>
        <w:rPr>
          <w:rFonts w:ascii="Times New Roman" w:hAnsi="Times New Roman"/>
        </w:rPr>
        <w:t>ABBASI, Muhammad Zubair. Scaling Artificial Intelligence for Augmented Learning: developing a generative AI evaluation scale through a case study in Islamic inheritance law. Journal of Digital Islamicate Research, 2025. DOI: 10.1163/27732363-20250002. Disponível em: https://doi.org/10.1163/27732363-20250002.</w:t>
      </w:r>
    </w:p>
    <w:p>
      <w:pPr>
        <w:spacing w:after="40"/>
      </w:pPr>
      <w:r>
        <w:rPr>
          <w:rFonts w:ascii="Times New Roman" w:hAnsi="Times New Roman"/>
        </w:rPr>
        <w:t>ALIMARDANI, Armin. Generative artificial intelligence vs. law students: an empirical study on criminal law exam performance. Law, Innovation and Technology, v. 16, n. 2, p. 777-819, 2024. DOI: 10.1080/17579961.2024.2392932. Disponível em: https://doi.org/10.1080/17579961.2024.2392932.</w:t>
      </w:r>
    </w:p>
    <w:p>
      <w:pPr>
        <w:spacing w:after="40"/>
      </w:pPr>
      <w:r>
        <w:rPr>
          <w:rFonts w:ascii="Times New Roman" w:hAnsi="Times New Roman"/>
        </w:rPr>
        <w:t>WARTENBERG, Katrin. E-Learning with an AI Learning Assistant for Legal Education in Public Administration. International Journal of Advanced Corporate Learning (iJAC), v. 18, n. 4, p. 69-77, 2025. DOI: 10.3991/ijac.v18i4.57923. Disponível em: https://doi.org/10.3991/ijac.v18i4.57923.</w:t>
      </w:r>
    </w:p>
    <w:p>
      <w:pPr>
        <w:spacing w:after="40"/>
      </w:pPr>
      <w:r>
        <w:rPr>
          <w:rFonts w:ascii="Times New Roman" w:hAnsi="Times New Roman"/>
        </w:rPr>
        <w:t>MATTHEE, Jacques; STOPFORTH, Grey. The Importance of Ethical and Responsible AI Training in Law Schools to Avoid Career-Ending Pitfalls for Aspiring Attorneys. Journal for Juridical Science, v. 50, n. 1, p. 49-67, 2025. DOI: 10.38140/jjs.v50i1.9302. Disponível em: https://doi.org/10.38140/jjs.v50i1.9302.</w:t>
      </w:r>
    </w:p>
    <w:p>
      <w:pPr>
        <w:spacing w:after="40"/>
      </w:pPr>
      <w:r>
        <w:rPr>
          <w:rFonts w:ascii="Times New Roman" w:hAnsi="Times New Roman"/>
        </w:rPr>
        <w:t>RAMASWAMY, M. P. Evolving Norms Governing AI Engagement in Legal Practice and the Prospective Alignment of Law School Curriculum. UCP Journal of Law &amp; Legal Education, v. 2, n. 2, p. 28-53, 2024. DOI: 10.24312/ucp-jlle.02.02.349. Disponível em: https://doi.org/10.24312/ucp-jlle.02.02.349.</w:t>
      </w:r>
    </w:p>
    <w:p>
      <w:pPr>
        <w:spacing w:after="40"/>
      </w:pPr>
      <w:r>
        <w:rPr>
          <w:rFonts w:ascii="Times New Roman" w:hAnsi="Times New Roman"/>
        </w:rPr>
        <w:t>Literatura contextual da atualização de 2026: não incluída no denominador n = 21</w:t>
      </w:r>
    </w:p>
    <w:p>
      <w:pPr>
        <w:spacing w:after="40"/>
      </w:pPr>
      <w:r>
        <w:rPr>
          <w:rFonts w:ascii="Times New Roman" w:hAnsi="Times New Roman"/>
        </w:rPr>
        <w:t>LORTEAU, Steve; SARRO, Douglas. Artificial intelligence in legal education: a scoping review. The Law Teacher, v. 60, n. 1, p. 138-162, 2026. DOI: 10.1080/03069400.2025.2592440. Disponível em: https://doi.org/10.1080/03069400.2025.2592440.</w:t>
      </w:r>
    </w:p>
    <w:p>
      <w:pPr>
        <w:spacing w:after="40"/>
      </w:pPr>
      <w:r>
        <w:rPr>
          <w:rFonts w:ascii="Times New Roman" w:hAnsi="Times New Roman"/>
        </w:rPr>
        <w:t>SCHREPEL, Thibault. Generative AI in legal education: a two-year experiment with ChatGPT. Law, Innovation and Technology, v. 18, n. 1, p. 1-42, 2026. DOI: 10.1080/17579961.2026.2633673. Disponível em: https://doi.org/10.1080/17579961.2026.2633673.</w:t>
      </w:r>
    </w:p>
    <w:sectPr>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