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RELATO DE EXPERIÊNCIA DA PRÁTICA CLÍNICA EM ABORDAGEM HUMANISTA: DA SALA PARA A RUA – BRINCAR LIVRE NA VIZINHANÇA E ATENUAÇÃO DA INTENSIDADE DE SINTOMAS DE TDAH EM PRÉ-ESCOLAR</w:t>
      </w:r>
    </w:p>
    <w:p>
      <w:pPr>
        <w:spacing w:after="48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Ana Gessyca de Sousa Fernandes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Isabelly Rosa Cavalcante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Nadielle Darc Batista Dias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Winny Ketlyn Sabóia Teixeira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Marta Tainá Silva de Sousa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Discentes do curso de graduação em Psicologia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[INSTITUIÇÃO DE ENSINO SUPERIOR – A PREENCHER]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Orientadora: [NOME DA ORIENTADORA – A PREENCHER]</w:t>
      </w:r>
    </w:p>
    <w:p>
      <w:pPr>
        <w:spacing w:after="72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[CIDADE]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RESUMO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i w:val="0"/>
          <w:sz w:val="24"/>
        </w:rPr>
        <w:t>Introdução:</w:t>
      </w:r>
      <w:r>
        <w:rPr>
          <w:rFonts w:ascii="Times New Roman" w:hAnsi="Times New Roman"/>
          <w:sz w:val="24"/>
        </w:rPr>
        <w:t xml:space="preserve"> o Transtorno de Déficit de Atenção e Hiperatividade (TDAH) de apresentação combinada em pré-escolares compromete a permanência em atividades, o vínculo terapêutico e a convivência entre pares, e nessa faixa etária a evidência farmacológica é limitada. O caso que motivou este trabalho chegou à clínica humanista assim: M., 5 anos, laudo de TDAH misto, nível de hiperatividade grave, a ponto de não conseguir permanecer diante da televisão. Depois que a família mudou de endereço, a criança começou a brincar todos os dias com outras crianças da vizinhança; a mãe e a terapeuta passaram a notá-la bem mais tranquila, inclusive durante as sessões. </w:t>
      </w:r>
      <w:r>
        <w:rPr>
          <w:rFonts w:ascii="Times New Roman" w:hAnsi="Times New Roman"/>
          <w:b/>
          <w:i w:val="0"/>
          <w:sz w:val="24"/>
        </w:rPr>
        <w:t>Objetivos:</w:t>
      </w:r>
      <w:r>
        <w:rPr>
          <w:rFonts w:ascii="Times New Roman" w:hAnsi="Times New Roman"/>
          <w:sz w:val="24"/>
        </w:rPr>
        <w:t xml:space="preserve"> reunir e discutir a literatura publicada entre 2004 e 2026 sobre o brincar livre e social em espaços externos do cotidiano – rua, quintal, vizinhança, áreas verdes – e sua relação com a intensidade dos sintomas do TDAH, com o propósito de ler a mudança observada à luz do que já se conhece; em particular, mapear as evidências sobre natureza e gravidade do transtorno, sobre o brincar entre pares e a autorregulação de crianças pequenas, e sobre o lugar da clínica humanista nesse processo. </w:t>
      </w:r>
      <w:r>
        <w:rPr>
          <w:rFonts w:ascii="Times New Roman" w:hAnsi="Times New Roman"/>
          <w:b/>
          <w:i w:val="0"/>
          <w:sz w:val="24"/>
        </w:rPr>
        <w:t>Metodologia:</w:t>
      </w:r>
      <w:r>
        <w:rPr>
          <w:rFonts w:ascii="Times New Roman" w:hAnsi="Times New Roman"/>
          <w:sz w:val="24"/>
        </w:rPr>
        <w:t xml:space="preserve"> revisão integrativa de caráter narrativo, conduzida nas bases SciELO, BVS/PEPSIC, Portal de Periódicos CAPES, PubMed e PsycINFO, com descritores DeCS/MeSH (TDAH; pré-escolar; brincar; meio ambiente; terapia centrada no cliente). O caso foi tratado como vinheta anonimizada, com Termo de Consentimento Livre e Esclarecido do responsável e assentimento lúdico [A ANEXAR], em conformidade com o Estatuto da Criança e do Adolescente (Lei n. 8.069/1990), a Lei Geral de Proteção de Dados (Lei n. 13.709/2018) e as Resoluções n. 466/2012 e n. 510/2016 do Conselho Nacional de Saúde. A família não informou uso de medicamento até o fechamento deste trabalho, o que se registra literalmente. </w:t>
      </w:r>
      <w:r>
        <w:rPr>
          <w:rFonts w:ascii="Times New Roman" w:hAnsi="Times New Roman"/>
          <w:b/>
          <w:i w:val="0"/>
          <w:sz w:val="24"/>
        </w:rPr>
        <w:t>Resultados e discussões:</w:t>
      </w:r>
      <w:r>
        <w:rPr>
          <w:rFonts w:ascii="Times New Roman" w:hAnsi="Times New Roman"/>
          <w:sz w:val="24"/>
        </w:rPr>
        <w:t xml:space="preserve"> seis referências-âncora, organizadas em três eixos – verde e restauração atencional; brincar entre pares como regulador; clínica humanista como ambiente facilitador –, convergem para um mesmo achado: o tipo de TDAH permanece, mas a intensidade dos sintomas diminui, com mais calma, capacidade de esperar a vez e abertura ao contato social. O percurso de M. espelha o relatado por Damasceno et al. (2025) e se mostra compatível com Kuo e Faber Taylor (2004) e Hood e Baumann (2024); ainda assim, sem escala padronizada de linha de base, sem medida da dose de brincar e sem informação farmacológica, não cabe concluir eficácia, apenas coerência teórica. </w:t>
      </w:r>
      <w:r>
        <w:rPr>
          <w:rFonts w:ascii="Times New Roman" w:hAnsi="Times New Roman"/>
          <w:b/>
          <w:i w:val="0"/>
          <w:sz w:val="24"/>
        </w:rPr>
        <w:t>Conclusão:</w:t>
      </w:r>
      <w:r>
        <w:rPr>
          <w:rFonts w:ascii="Times New Roman" w:hAnsi="Times New Roman"/>
          <w:sz w:val="24"/>
        </w:rPr>
        <w:t xml:space="preserve"> a vinheta dialoga com a literatura, sem valor probatório; a ecologia do brincar merece lugar na formulação clínica do TDAH pré-escolar, e a agenda de continuidade inclui SNAP-IV, registro do tempo de brincar ao ar livre e controle de variáveis de confusão.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i w:val="0"/>
          <w:sz w:val="24"/>
        </w:rPr>
        <w:t>Palavras-chave:</w:t>
      </w:r>
      <w:r>
        <w:rPr>
          <w:rFonts w:ascii="Times New Roman" w:hAnsi="Times New Roman"/>
          <w:sz w:val="24"/>
        </w:rPr>
        <w:t xml:space="preserve"> Transtorno do Déficit de Atenção com Hiperatividade; Pré-escolar; Brincar Livre; Psicologia Humanista; Relato de Experiência.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i w:val="0"/>
          <w:sz w:val="24"/>
        </w:rPr>
        <w:t>Nota de integridade:</w:t>
      </w:r>
      <w:r>
        <w:rPr>
          <w:rFonts w:ascii="Times New Roman" w:hAnsi="Times New Roman"/>
          <w:sz w:val="24"/>
        </w:rPr>
        <w:t xml:space="preserve"> este manuscrito contou com apoio de inteligência artificial na fase de estruturação e foi revisto integralmente pelas autoras, que assumem a responsabilidade pelo conteúdo final. Nenhum participante, número, DOI ou aprovação ética foi inventado; campos pendentes aparecem como [A PREENCHER]/[A ANEXAR]. As referências centrais foram conferidas em fonte primária em 5 out. 2026. Recomenda-se a verificação de similaridade em ferramenta institucional antes da submissão. Conflito de interesses: nada a declarar. Financiamento: nenhum. A classificação Qualis e o aceite dependem do periódico e da banca.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TDAH de apresentação combinada reúne desatenção e hiperatividade-impulsividade em nível mais acentuado do que o esperado para a idade, com início antes dos 12 anos, duração de pelo menos seis meses e prejuízo em dois ou mais ambientes de vida (AMERICAN PSYCHIATRIC ASSOCIATION, 2023). Dados de meta-regressão situam a prevalência mundial do transtorno em torno de 5% entre crianças e adolescentes, ainda que os números variem bastante conforme o método adotado em cada estudo (POLANCZYK et al., 2007). Na primeira infância, os sinais aparecem sobretudo no corpo: a criança corre sem parar, tem dificuldade de se envolver em brincadeiras calmas, fala em excesso, interrompe, custa a esperar a vez e perde o foco diante de qualquer estímulo ao redor.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menores de 6 anos, o manejo se apoia primeiro em recursos não medicamentosos: orientação e treino dos pais, rotina e sono organizados, articulação entre escola e família e psicoterapia infantil (HOOD; BAUMANN, 2024). A diretriz da Academia Americana de Pediatria aponta, para a faixa de 4 a 6 anos, o treinamento comportamental parental como porta de entrada, antes de qualquer medicação (WOLRAICH et al., 2019). Na Abordagem Centrada na Pessoa (ROGERS, 2020) e na ludoterapia dela derivada (AXLINE, 1984), o trabalho clínico não mira a supressão do sintoma: oferece congruência, aceitação positiva incondicional e compreensão empática, deixando que a criança conduza o processo pelo brincar, dentro de limites de realidade claros.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Três lentes teóricas orientam a leitura do caso. A Teoria da Restauração da Atenção propõe que ambientes naturais capturam a atenção sem exigir esforço, dando descanso à atenção dirigida – exatamente a mais sobrecarregada no TDAH (HOOD; BAUMANN, 2024; KUO; TAYLOR, 2004). O modelo bioecológico de Bronfenbrenner (BRONFENBRENNER, 1996) lembra que a criança se desenvolve em sistemas encaixados: o microssistema do brincar, o mesossistema família-vizinhança e o exossistema da comunidade se influenciam mutuamente. A Abordagem Centrada na Pessoa, por fim, sustenta que todo organismo tende a se atualizar quando o ambiente o acolhe sem condições.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caso que disparou este trabalho chegou assim: M., 5 anos, com laudo de TDAH misto e hiperatividade tão intensa que a menina não conseguia sequer assistir à televisão. A família mudou de endereço; no novo lugar, a criança passou a brincar diariamente na rua com vizinhos de idade próxima. A mãe relatou, e a terapeuta confirmou nas sessões, que ela ficou visivelmente mais tranquila. A pergunta que daí nasceu é também a lacuna desta revisão: quase todos os estudos sobre natureza e TDAH foram feitos com escolares de 7 a 12 anos, em parques ou programas planejados, e nenhum sob a ótica humanista brasileira. A hipótese de trabalho – tratada como hipótese, não como fato – é que a vizinhança segura, com pares e movimento livre, operou como um "tempo verde-social" diário, com efeito restaurador amplificado pelo vínculo terapêutico.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4"/>
        </w:rPr>
        <w:t>2 OBJETIVOS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2.1 Pergunta norteadora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que a literatura nacional e internacional, de 2004 a 2026, descreve sobre a relação entre brincar livre em espaços externos ou na vizinhança e a atenuação da intensidade de sintomas de TDAH em pré-escolares, e como esses achados dialogam com a clínica humanista?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2.2 Objetivo geral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Sintetizar evidências e lacunas sobre ambiente, brincar social e TDAH pré-escolar, de modo a tornar inteligível a mudança comportamental observada no caso índice.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2.3 Objetivos específicos</w:t>
      </w:r>
    </w:p>
    <w:p>
      <w:pPr>
        <w:spacing w:line="360" w:lineRule="auto" w:after="0"/>
        <w:ind w:left="1077" w:firstLine="0"/>
        <w:jc w:val="both"/>
      </w:pPr>
      <w:r>
        <w:rPr>
          <w:rFonts w:ascii="Times New Roman" w:hAnsi="Times New Roman"/>
          <w:sz w:val="24"/>
        </w:rPr>
        <w:t>mapear as evidências sobre natureza, espaço verde e gravidade de sintomas de TDAH em crianças;</w:t>
      </w:r>
    </w:p>
    <w:p>
      <w:pPr>
        <w:spacing w:line="360" w:lineRule="auto" w:after="0"/>
        <w:ind w:left="1077" w:firstLine="0"/>
        <w:jc w:val="both"/>
      </w:pPr>
      <w:r>
        <w:rPr>
          <w:rFonts w:ascii="Times New Roman" w:hAnsi="Times New Roman"/>
          <w:sz w:val="24"/>
        </w:rPr>
        <w:t>mapear as evidências sobre brincar livre entre pares e autorregulação na faixa de 3 a 6 anos;</w:t>
      </w:r>
    </w:p>
    <w:p>
      <w:pPr>
        <w:spacing w:line="360" w:lineRule="auto" w:after="0"/>
        <w:ind w:left="1077" w:firstLine="0"/>
        <w:jc w:val="both"/>
      </w:pPr>
      <w:r>
        <w:rPr>
          <w:rFonts w:ascii="Times New Roman" w:hAnsi="Times New Roman"/>
          <w:sz w:val="24"/>
        </w:rPr>
        <w:t>articular os fundamentos da clínica humanista – Rogers e Axline – que ajudam a explicar a tranquilização observada também em sessão.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4"/>
        </w:rPr>
        <w:t>3 METODOLOGIA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3.1 Desenho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Adotou-se uma revisão integrativa de caráter narrativo, acompanhada de vinheta clínica única e anonimizada. O trabalho não é uma revisão sistemática: não segue o protocolo PRISMA em sua integralidade e não realiza meta-análise. A vinheta cumpre função ilustrativa e heurística, sem qualquer pretensão inferencial. Cabe justificar essa escolha: um caso único serve para gerar hipóteses, não para confirmá-las. Por isso o desenho dispensa, deliberadamente, grupo de controle, amostragem probabilística e isolamento de variáveis – exigências que só fariam sentido se o objetivo fosse testar eficácia, o que não é o caso.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3.2 Critérios de invalidação da hipótese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Para que a hipótese do "tempo verde-social" seja passível de teste, registram-se as condições que a enfraqueceriam ou refutariam: (a) SNAP-IV com piora ou estabilidade dos sintomas após três meses de brincar regular na vizinhança; (b) manutenção da melhora mesmo com interrupção prolongada do brincar social, o que apontaria maturação; (c) surgimento de registro de psicofármaco iniciado, ajustado ou suspenso no período; (d) discordância entre informantes (mãe e professora) na escala padronizada; (e) melhora equivalente em criança do mesmo contexto sem exposição ao brincar de vizinhança.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3.3 Fontes e estratégia de busca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buscas exploratórias ocorreram em outubro de 2026, nas bases SciELO, BVS/PEPSIC, Portal de Periódicos CAPES, PubMed e PsycINFO, cobrindo o período de 2004 a 2026, nos idiomas português, inglês e espanhol. Em português (DeCS), combinaram-se: "Transtorno do Déficit de Atenção com Hiperatividade" AND "Pré-escolar" AND "Jogos e Brinquedos" AND "Meio Ambiente" AND "Terapia Centrada no Cliente". Em inglês (MeSH): "Attention Deficit Hyperactivity Disorder" AND "Preschool Child" AND "Play" AND "Green Space/Neighborhood" AND "Person-Centered Therapy/Play Therapy". A string final combinou os termos "ADHD" ou "TDAH"; "preschool" ou "pré-escolar"; "free play", "outdoor play", "neighborhood", "brincar livre" ou "vizinhança"; e "nature", "green space" ou "natureza". Entraram estudos com crianças de 3 a 12 anos, com laudo ou traços de TDAH, em contexto externo, de vizinhança ou de natureza, e desfecho comportamental de atenção, hiperatividade ou interação social. Foram excluídos trabalhos só com adultos, farmacologia sem componente ambiental, resumos sem texto completo e duplicatas. Os dados foram organizados em matriz com referência, desenho, idade, contexto, medida, achado e limite.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3.4 Cuidados éticos da vinheta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criança recebeu nome fictício (M.); endereço, escola, nomes de familiares, imagens e datas identificadoras foram suprimidos. O relato exige Termo de Consentimento Livre e Esclarecido do responsável e assentimento lúdico da criança [A ANEXAR – se a pesquisa for institucional, informar o número do Comitê de Ética em Pesquisa; se for relato de experiência clínica para fins didáticos, declarar o consentimento para uso anonimizado, conforme o Código de Ética Profissional do Psicólogo, o Estatuto da Criança e do Adolescente (Lei n. 8.069/1990) e a Lei Geral de Proteção de Dados (Lei n. 13.709/2018)]. As fontes do caso foram anamnese materna, prontuário, observação em [N] sessões de 50 minutos [A PREENCHER] e diário de campo. Nenhuma escala padronizada foi aplicada até o fechamento – limitação declarada –, recomendando-se SNAP-IV (pais e professores) e CBCL 1,5–5 na continuidade do acompanhamento.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3.5 Medicamento não declarado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Até o fechamento deste manuscrito, a família não declarou uso atual, pregresso, dose, adesão ou suspensão de psicofármacos, nem outros tratamentos concomitantes (psicopedagogia, terapia ocupacional, intervenções escolares). O dado foi registrado como "informação não declarada", sem que se presuma ausência de medicação. Essa lacuna impede qualquer inferência farmacológica e é retomada entre as limitações.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3.6 Confundidores não controlados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Foram tratadas como explicações alternativas: maturação neurológica entre 5,0 e 5,5 anos; mudanças de sono, rotina e alimentação; nova escola ou educadora; redução do estresse familiar após a mudança; sazonalidade; tempo de tela antes e depois; amadurecimento da própria aliança terapêutica; e viés de expectativa materna.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4"/>
        </w:rPr>
        <w:t>4 RESULTADOS E DISCUSSÕES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triagem convergiu para seis referências-âncora, distribuídas em três eixos: (1) verde e restauração atencional; (2) brincar entre pares como regulador; e (3) clínica humanista como ambiente facilitador.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Quadro 1 – Síntese das referências-âncora (auditoria em 5 out.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Nº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Referência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Desenho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Achado para o caso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HOOD; BAUMANN, 2024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Revisão sistemática; 458 estudos triados, 7 incluídos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Áreas com mais vegetação e brincadeiras em “árvores grandes e grama” aparecem ligadas a menos diagnósticos e sintomas mais leves, mesmo ajustando renda e fatores pré-natais</w:t>
            </w:r>
          </w:p>
        </w:tc>
        <w:tc>
          <w:tcPr>
            <w:tcW w:type="dxa" w:w="2608"/>
          </w:tcPr>
          <w:p/>
        </w:tc>
      </w:tr>
      <w:tr>
        <w:tc>
          <w:tcPr>
            <w:tcW w:type="dxa" w:w="45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KUO; TAYLOR, 2004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Estudo nacional norte-americano; N = 452 pais; 49 atividades comparadas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A mesma atividade feita em espaço verde alivia mais os sintomas do que em área construída ou fechada (p &lt; 0,001); em crianças hiperativas, só o verde aberto mostrou esse efeito</w:t>
            </w:r>
          </w:p>
        </w:tc>
        <w:tc>
          <w:tcPr>
            <w:tcW w:type="dxa" w:w="2608"/>
          </w:tcPr>
          <w:p/>
        </w:tc>
      </w:tr>
      <w:tr>
        <w:tc>
          <w:tcPr>
            <w:tcW w:type="dxa" w:w="45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TAYLOR; KUO, 2009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Experimento controlado intrasujeito; N = 17; caminhada de 20 minutos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Após caminhar em parque, as crianças pontuaram melhor em testes objetivos de atenção do que após percurso urbano equivalente; cada participante serviu de próprio controle</w:t>
            </w:r>
          </w:p>
        </w:tc>
        <w:tc>
          <w:tcPr>
            <w:tcW w:type="dxa" w:w="2608"/>
          </w:tcPr>
          <w:p/>
        </w:tc>
      </w:tr>
      <w:tr>
        <w:tc>
          <w:tcPr>
            <w:tcW w:type="dxa" w:w="45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TAYLOR; KUO, 2011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Survey nacional; N = 421; local habitual de brincar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Quem brinca com frequência em verde apresenta sintomas mais leves, em todos os sexos e faixas de renda; os autores propõem ensaios de “dose verde” regular</w:t>
            </w:r>
          </w:p>
        </w:tc>
        <w:tc>
          <w:tcPr>
            <w:tcW w:type="dxa" w:w="2608"/>
          </w:tcPr>
          <w:p/>
        </w:tc>
      </w:tr>
      <w:tr>
        <w:tc>
          <w:tcPr>
            <w:tcW w:type="dxa" w:w="45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DAMASCENO et al., 2025a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Intervenção de 6 meses; grupo intervenção versus controle; SNAP-IV, guias e diários; Nordeste do Brasil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O tipo de TDAH se manteve, mas a intensidade recuou de “demais” para “bastante/pouco”; melhoraram a agitação constante, a espera de turno e a aceitação de regras, com mais calma e abertura social</w:t>
            </w:r>
          </w:p>
        </w:tc>
        <w:tc>
          <w:tcPr>
            <w:tcW w:type="dxa" w:w="2608"/>
          </w:tcPr>
          <w:p/>
        </w:tc>
      </w:tr>
      <w:tr>
        <w:tc>
          <w:tcPr>
            <w:tcW w:type="dxa" w:w="45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YANG et al., 2019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Transversal; N = 59.754; China; índice de vegetação a 500 m da escola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Cada 0,1 a mais no índice de verde do entorno escolar correspondeu a chance 13% menor de sintomas de TDAH</w:t>
            </w:r>
          </w:p>
        </w:tc>
        <w:tc>
          <w:tcPr>
            <w:tcW w:type="dxa" w:w="2608"/>
          </w:tcPr>
          <w:p/>
        </w:tc>
      </w:tr>
    </w:tbl>
    <w:p>
      <w:pPr>
        <w:spacing w:before="80" w:line="240" w:lineRule="auto"/>
      </w:pPr>
      <w:r>
        <w:rPr>
          <w:rFonts w:ascii="Times New Roman" w:hAnsi="Times New Roman"/>
          <w:sz w:val="24"/>
        </w:rPr>
        <w:t>Fonte: dados da revisão; elaborado pelas autoras (2026).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4.1 Eixo 1 – Verde e restauração atencional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Há convergência na literatura, apesar dos métodos distintos: áreas arborizadas, quintais, parques e caminhos verdes estão associados a melhor concentração logo após a exposição e a queixas menos intensas por parte de pais e professores (HOOD; BAUMANN, 2024; YANG et al., 2019). O único experimento controlado identificado com crianças com TDAH mediu atenção antes e depois de caminhadas curtas: o desempenho foi consistentemente superior quando o trajeto atravessava um parque, e não ruas bem cuidadas (TAYLOR; KUO, 2009). A Teoria da Restauração da Atenção oferece a explicação mais aceita: a natureza prende a atenção de forma espontânea, deixando descansar o sistema atencional que o TDAH sobrecarrega (KUO; TAYLOR, 2004; TAYLOR; KUO, 2011). Com honestidade: as escalas variam (SNAP-IV, SDQ, testes objetivos), há poucos experimentos com pré-escolares, e nada disso sugere cura – apenas um contexto restaurador que se soma ao tratamento.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4.2 Eixo 2 – Brincar entre pares como regulador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brincar é a principal ocupação da infância e funciona como laboratório de convivência: nele a criança experimenta pertencimento sem exclusão, lida com a frustração e exercita esperar, planejar e sustentar o interesse (FIGUEIREDO, 2015). Revisões nacionais sobre o brincar em crianças com TDAH destacam ganhos de expressividade, enfrentamento de problemas e atenção (DAMASCENO et al., 2025b). A intervenção brasileira de seis meses registrou redução em itens como não seguir instruções, dispersar-se com estímulos externos, falar em excesso e resistir a brincadeiras calmas, com o aparecimento de estados de tranquilidade e maior abertura ao contato social (DAMASCENO et al., 2025a). O brincar de rua soma três ingredientes que dialogam diretamente com a hiperatividade: regras que as próprias crianças negociam, corpo em movimento amplo e menos tempo diante de telas.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4.3 Eixo 3 – Clínica humanista como ambiente facilitador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tradição humanista compreende a ludoterapia como relação viva, e não como técnica sobre a criança: o vínculo intersubjetivo que nasce na sessão transborda para a vida cotidiana, com corpo presente, autoria e autoaceitação (AXLINE, 1984; ROGERS, 2020). Quando, fora do setting, a criança encontra um contexto que a recebe – pares que a chamam pelo nome, uma rua que comporta sua energia –, ela chega à sessão menos defensiva e mais capaz de usar aquele espaço para integrar o vivido, em vez de apenas descarregá-lo. É isso que torna compreensível a tranquilização vista ao mesmo tempo em casa e na clínica, sem que a terapeuta tenha alterado sua forma de trabalhar.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4"/>
        </w:rPr>
        <w:t>Quadro 2 – M., 5 anos, antes e depois da mudança de endereço (registro clínico-materno, observacional)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Domínio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Antes (contexto 1)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Depois (contexto 2; 4–8 semanas)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b/>
                <w:sz w:val="24"/>
              </w:rPr>
              <w:t>Fonte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Atenção sustentada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Não permanecia diante da televisão; levantava e mexia em objetos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Mantém brincadeiras calmas por 10–15 minutos; desenho e jogo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Mãe; diário de campo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Hiperatividade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Agitação contínua; “não para”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Corre e brinca, mas volta à calma; intervalos sentada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Mãe; sessões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Interação social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Poucos pares; brincar solitário e interno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Brinca todo dia na vizinhança; é chamada pelas colegas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Mãe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Sessão terapêutica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Troca rápida de brinquedos; fala acelerada</w:t>
            </w:r>
          </w:p>
        </w:tc>
        <w:tc>
          <w:tcPr>
            <w:tcW w:type="dxa" w:w="2494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Permanece mais tempo; espera o turno; pede com palavras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Times New Roman" w:hAnsi="Times New Roman"/>
                <w:sz w:val="24"/>
              </w:rPr>
              <w:t>Terapeuta</w:t>
            </w:r>
          </w:p>
        </w:tc>
      </w:tr>
    </w:tbl>
    <w:p>
      <w:pPr>
        <w:spacing w:before="80" w:line="240" w:lineRule="auto"/>
      </w:pPr>
      <w:r>
        <w:rPr>
          <w:rFonts w:ascii="Times New Roman" w:hAnsi="Times New Roman"/>
          <w:sz w:val="24"/>
        </w:rPr>
        <w:t>Fonte: prontuário e relato materno (2026). Dados observacionais, sem escala padronizada.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4"/>
        </w:rPr>
        <w:t>5 LIMITAÇÕES E EXPLICAÇÕES ALTERNATIVAS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5.1 Coerência, não prova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percurso de M. repete, em escala individual, o que a intervenção brasileira descreveu em grupo: a intensidade dos sintomas diminuiu, mas o tipo de TDAH permaneceu (DAMASCENO et al., 2025a). O relato também se alinha ao achado de que espaços verdes e abertos, somados ao convívio social, configuram o cenário mais favorável (KUO; TAYLOR, 2004), e à revisão que sustenta a plausibilidade do mecanismo restaurador (HOOD; BAUMANN, 2024). Há ainda um contraponto digno de nota: a rotina de M. inverteu o que a literatura chama de "déficit de natureza", fenômeno pelo qual a redução do tempo livre ao ar livre na infância contemporânea se associa a piores desfechos de desenvolvimento (LOUV, 2015). Na leitura humanista, a mudança de endereço não "tratou" a criança: ampliou seu campo relacional. Aceita na rua, apesar da agitação, e aceita na sessão, sem condições, ela pôde atualizar uma potência que já existia (ROGERS, 2020). O corpo que precisava interromper para existir passou a correr, negociar e descansar.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5.2 Explicações alternativas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Convém considerar, sem ordem de importância: (a) maturação própria da faixa de 5,0 a 5,5 anos; (b) mudanças de sono, rotina, escola e alimentação; (c) alívio do estresse familiar, capaz de influenciar o relato materno; (d) aprofundamento da aliança terapêutica com o tempo; (e) viés de expectativa – a mãe deseja ver a filha bem na casa nova; (f) sazonalidade, com mais tempo ao ar livre no período; (g) redução de telas não mensurada; e, sobretudo, (h) medicação não declarada. Se algum psicofármaco foi iniciado, ajustado ou interrompido nesse intervalo, a leitura ambiental perde sustentação. Sem SNAP-IV de linha de base, sem medida da dose de brincar e de telas e sem informação farmacológica, este trabalho não afirma eficácia: afirma coerência teórica e propõe uma agenda.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4"/>
        </w:rPr>
        <w:t>5.3 Limites do desenho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Um caso único, sem grupo de comparação e sem medidas padronizadas, não autoriza generalizações. A convergência entre o que a mãe conta e o que a terapeuta observa reduz – não elimina – o viés de informante. A ausência de dado sobre medicação permanece como a limitação mais grave e deve ser explicitada em qualquer versão a submeter. A verificação empírica da hipótese dependerá de um desenho futuro com medidas repetidas: linha de base, seguimento em três meses e comparação entre contextos, conforme os critérios de invalidação já registrados na Metodologia.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4"/>
        </w:rPr>
        <w:t>6 CONCLUSÃO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Este trabalho sustenta uma tese deliberadamente modesta: em pré-escolares com TDAH misto, a ecologia do brincar – onde, com quem e por quanto tempo ao ar livre – merece lugar na formulação clínica, ao lado dos sintomas, da família e da escola (BRONFENBRENNER, 1996). Uma "dose verde-social" complementar – caminho arborizado para a escola, quintal, recreio em gramado, janela com vista verde para as tarefas – custa pouco, não tem efeitos adversos conhecidos e é coerente com a literatura (TAYLOR; KUO, 2011; HOOD; BAUMANN, 2024; TAYLOR; KUO, 2009), desde que não substitua o acompanhamento já em curso e não seja confundida com indicação medicamentosa, que este texto não faz.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Como desdobramentos práticos para a clínica e a orientação de famílias, sugerem-se quatro cuidados: (a) registrar a dose diária de brincar externo social (minutos, companhia, local), transformando o registro em instrumento de conversa nas sessões; (b) priorizar espaços verdes e abertos quando há predomínio de hiperatividade, em sintonia com a literatura; (c) envolver a escola no mapeamento do recreio e do entorno; e (d) manter postura não diretiva, deixando a própria criança apontar o que o brincar mobiliza nela.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As limitações deste relato são conhecidas: caso único, ausência de grupo controle e de escala padronizada, dose de brincar e de telas não medida, informação sobre medicação e sono indisponível e possível viés no relato materno. A agenda de continuidade inclui: (1) aplicar SNAP-IV com pais e professores agora e em três meses; (2) manter por duas semanas um diário simples (hora de rua, com quem, onde, hora de tela, hora de dormir); (3) conduzir de 8 a 12 sessões com protocolo axlineano registrado em vinhetas; (4) realizar entrevista semiestruturada com a mãe; e (5) se a pesquisa for institucional, submetê-la a Comitê de Ética em Pesquisa com protocolo registrado.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contribuição, ainda que pequena, é genuína: documentar em português, sob ótica humanista, um fenômeno cotidiano quase ausente da literatura – o brincar de vizinhança não estruturado aos 5 anos – e oferecer a outros clínicos categorias para escutar, nas sessões, mudanças que as escalas ainda não medem.</w:t>
      </w:r>
    </w:p>
    <w:p>
      <w:pPr>
        <w:spacing w:before="360" w:after="240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AMERICAN PSYCHIATRIC ASSOCIATION. </w:t>
      </w:r>
      <w:r>
        <w:rPr>
          <w:rFonts w:ascii="Times New Roman" w:hAnsi="Times New Roman"/>
          <w:b/>
          <w:sz w:val="24"/>
        </w:rPr>
        <w:t>Manual diagnóstico e estatístico de transtornos mentais: DSM-5-TR.</w:t>
      </w:r>
      <w:r>
        <w:rPr>
          <w:rFonts w:ascii="Times New Roman" w:hAnsi="Times New Roman"/>
          <w:b w:val="0"/>
          <w:sz w:val="24"/>
        </w:rPr>
        <w:t xml:space="preserve"> 5. ed. rev. Porto Alegre: Artmed, 2023.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AXLINE, V. M. </w:t>
      </w:r>
      <w:r>
        <w:rPr>
          <w:rFonts w:ascii="Times New Roman" w:hAnsi="Times New Roman"/>
          <w:b/>
          <w:sz w:val="24"/>
        </w:rPr>
        <w:t>Ludoterapia: a dinâmica interior da infância.</w:t>
      </w:r>
      <w:r>
        <w:rPr>
          <w:rFonts w:ascii="Times New Roman" w:hAnsi="Times New Roman"/>
          <w:b w:val="0"/>
          <w:sz w:val="24"/>
        </w:rPr>
        <w:t xml:space="preserve"> São Paulo: Summus, 1984.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BRONFENBRENNER, U. </w:t>
      </w:r>
      <w:r>
        <w:rPr>
          <w:rFonts w:ascii="Times New Roman" w:hAnsi="Times New Roman"/>
          <w:b/>
          <w:sz w:val="24"/>
        </w:rPr>
        <w:t>A ecologia do desenvolvimento humano: experimentos naturais e planejados.</w:t>
      </w:r>
      <w:r>
        <w:rPr>
          <w:rFonts w:ascii="Times New Roman" w:hAnsi="Times New Roman"/>
          <w:b w:val="0"/>
          <w:sz w:val="24"/>
        </w:rPr>
        <w:t xml:space="preserve"> Porto Alegre: Artes Médicas, 1996.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DAMASCENO, M. M. S.; MAZZARINO, J. M.; FIGUEIREDO, A. Crianças com TDAH em contato com a natureza: transformações possíveis. </w:t>
      </w:r>
      <w:r>
        <w:rPr>
          <w:rFonts w:ascii="Times New Roman" w:hAnsi="Times New Roman"/>
          <w:b/>
          <w:sz w:val="24"/>
        </w:rPr>
        <w:t>Educação &amp; Realidade</w:t>
      </w:r>
      <w:r>
        <w:rPr>
          <w:rFonts w:ascii="Times New Roman" w:hAnsi="Times New Roman"/>
          <w:b w:val="0"/>
          <w:sz w:val="24"/>
        </w:rPr>
        <w:t>, Porto Alegre, v. 50, 2025. Disponível em: https://www.scielo.br/j/edreal/a/xJd4QkXcqYnPt5RMLG8GdgG/?lang=pt. Acesso em: 5 out. 2026.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DAMASCENO, M. M. S.; MAZZARINO, J. M.; FIGUEIREDO, A. Natureza, comportamento biopsicossocial infantil e TDAH. </w:t>
      </w:r>
      <w:r>
        <w:rPr>
          <w:rFonts w:ascii="Times New Roman" w:hAnsi="Times New Roman"/>
          <w:b/>
          <w:sz w:val="24"/>
        </w:rPr>
        <w:t>Educação</w:t>
      </w:r>
      <w:r>
        <w:rPr>
          <w:rFonts w:ascii="Times New Roman" w:hAnsi="Times New Roman"/>
          <w:b w:val="0"/>
          <w:sz w:val="24"/>
        </w:rPr>
        <w:t>, Porto Alegre, v. 48, n. 1, e48180, 2025. Disponível em: https://revistaseletronicas.pucrs.br/faced/article/view/48180. Acesso em: 5 out. 2026.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FABER TAYLOR, A.; KUO, F. E. Children with attention deficits concentrate better after walk in the park. </w:t>
      </w:r>
      <w:r>
        <w:rPr>
          <w:rFonts w:ascii="Times New Roman" w:hAnsi="Times New Roman"/>
          <w:b/>
          <w:sz w:val="24"/>
        </w:rPr>
        <w:t>Journal of Attention Disorders</w:t>
      </w:r>
      <w:r>
        <w:rPr>
          <w:rFonts w:ascii="Times New Roman" w:hAnsi="Times New Roman"/>
          <w:b w:val="0"/>
          <w:sz w:val="24"/>
        </w:rPr>
        <w:t>, v. 12, n. 5, p. 402-409, 2009.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FIGUEIREDO, J. S. </w:t>
      </w:r>
      <w:r>
        <w:rPr>
          <w:rFonts w:ascii="Times New Roman" w:hAnsi="Times New Roman"/>
          <w:b/>
          <w:sz w:val="24"/>
        </w:rPr>
        <w:t>Um estudo de caso a partir da atuação psicopedagógica utilizando estratégias lúdicas com o TDAH.</w:t>
      </w:r>
      <w:r>
        <w:rPr>
          <w:rFonts w:ascii="Times New Roman" w:hAnsi="Times New Roman"/>
          <w:b w:val="0"/>
          <w:sz w:val="24"/>
        </w:rPr>
        <w:t xml:space="preserve"> 2015. Trabalho de Conclusão de Curso (Graduação em Psicopedagogia) – Universidade Federal da Paraíba, João Pessoa, 2015. Disponível em: https://repositorio.ufpb.br/jspui/handle/123456789/2970. Acesso em: 5 out. 2026.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HOOD, M.; BAUMANN, O. Could nature contribute to the management of ADHD in children? A systematic review. </w:t>
      </w:r>
      <w:r>
        <w:rPr>
          <w:rFonts w:ascii="Times New Roman" w:hAnsi="Times New Roman"/>
          <w:b/>
          <w:sz w:val="24"/>
        </w:rPr>
        <w:t>International Journal of Environmental Research and Public Health</w:t>
      </w:r>
      <w:r>
        <w:rPr>
          <w:rFonts w:ascii="Times New Roman" w:hAnsi="Times New Roman"/>
          <w:b w:val="0"/>
          <w:sz w:val="24"/>
        </w:rPr>
        <w:t>, v. 21, n. 6, p. 736, 2024. Disponível em: https://www.mdpi.com/1660-4601/21/6/736. Acesso em: 5 out. 2026.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KUO, F. E.; FABER TAYLOR, A. A potential natural treatment for attention-deficit/hyperactivity disorder: evidence from a national study. </w:t>
      </w:r>
      <w:r>
        <w:rPr>
          <w:rFonts w:ascii="Times New Roman" w:hAnsi="Times New Roman"/>
          <w:b/>
          <w:sz w:val="24"/>
        </w:rPr>
        <w:t>American Journal of Public Health</w:t>
      </w:r>
      <w:r>
        <w:rPr>
          <w:rFonts w:ascii="Times New Roman" w:hAnsi="Times New Roman"/>
          <w:b w:val="0"/>
          <w:sz w:val="24"/>
        </w:rPr>
        <w:t>, v. 94, n. 9, p. 1580-1586, 2004.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LOUV, R. </w:t>
      </w:r>
      <w:r>
        <w:rPr>
          <w:rFonts w:ascii="Times New Roman" w:hAnsi="Times New Roman"/>
          <w:b/>
          <w:sz w:val="24"/>
        </w:rPr>
        <w:t>Last child in the woods: saving our children from nature-deficit disorder.</w:t>
      </w:r>
      <w:r>
        <w:rPr>
          <w:rFonts w:ascii="Times New Roman" w:hAnsi="Times New Roman"/>
          <w:b w:val="0"/>
          <w:sz w:val="24"/>
        </w:rPr>
        <w:t xml:space="preserve"> 3. ed. Chapel Hill: Algonquin Books, 2015.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POLANCZYK, G. et al. The worldwide prevalence of ADHD: a systematic review and metaregression analysis. </w:t>
      </w:r>
      <w:r>
        <w:rPr>
          <w:rFonts w:ascii="Times New Roman" w:hAnsi="Times New Roman"/>
          <w:b/>
          <w:sz w:val="24"/>
        </w:rPr>
        <w:t>American Journal of Psychiatry</w:t>
      </w:r>
      <w:r>
        <w:rPr>
          <w:rFonts w:ascii="Times New Roman" w:hAnsi="Times New Roman"/>
          <w:b w:val="0"/>
          <w:sz w:val="24"/>
        </w:rPr>
        <w:t>, v. 164, n. 6, p. 942-948, 2007.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ROGERS, C. R. </w:t>
      </w:r>
      <w:r>
        <w:rPr>
          <w:rFonts w:ascii="Times New Roman" w:hAnsi="Times New Roman"/>
          <w:b/>
          <w:sz w:val="24"/>
        </w:rPr>
        <w:t>Terapia centrada no cliente.</w:t>
      </w:r>
      <w:r>
        <w:rPr>
          <w:rFonts w:ascii="Times New Roman" w:hAnsi="Times New Roman"/>
          <w:b w:val="0"/>
          <w:sz w:val="24"/>
        </w:rPr>
        <w:t xml:space="preserve"> São Paulo: Martins Fontes, 2020.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TAYLOR, A. F.; KUO, F. E. Could exposure to everyday green spaces help treat ADHD? Evidence from children's play settings. </w:t>
      </w:r>
      <w:r>
        <w:rPr>
          <w:rFonts w:ascii="Times New Roman" w:hAnsi="Times New Roman"/>
          <w:b/>
          <w:sz w:val="24"/>
        </w:rPr>
        <w:t>Applied Psychology: Health and Well-Being</w:t>
      </w:r>
      <w:r>
        <w:rPr>
          <w:rFonts w:ascii="Times New Roman" w:hAnsi="Times New Roman"/>
          <w:b w:val="0"/>
          <w:sz w:val="24"/>
        </w:rPr>
        <w:t>, v. 3, n. 3, p. 281-303, 2011.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WOLRAICH, M. L. et al. Clinical practice guideline for the diagnosis, evaluation, and treatment of attention-deficit/hyperactivity disorder in children and adolescents. </w:t>
      </w:r>
      <w:r>
        <w:rPr>
          <w:rFonts w:ascii="Times New Roman" w:hAnsi="Times New Roman"/>
          <w:b/>
          <w:sz w:val="24"/>
        </w:rPr>
        <w:t>Pediatrics</w:t>
      </w:r>
      <w:r>
        <w:rPr>
          <w:rFonts w:ascii="Times New Roman" w:hAnsi="Times New Roman"/>
          <w:b w:val="0"/>
          <w:sz w:val="24"/>
        </w:rPr>
        <w:t>, v. 144, n. 4, e20192528, 2019.</w:t>
      </w:r>
    </w:p>
    <w:p>
      <w:pPr>
        <w:spacing w:line="240" w:lineRule="auto" w:after="240"/>
        <w:ind w:firstLine="0"/>
        <w:jc w:val="both"/>
      </w:pPr>
      <w:r>
        <w:rPr>
          <w:rFonts w:ascii="Times New Roman" w:hAnsi="Times New Roman"/>
          <w:b w:val="0"/>
          <w:sz w:val="24"/>
        </w:rPr>
        <w:t xml:space="preserve">YANG, B. et al. Association between greenness surrounding schools and kindergartens and attention-deficit/hyperactivity disorder in children in China. </w:t>
      </w:r>
      <w:r>
        <w:rPr>
          <w:rFonts w:ascii="Times New Roman" w:hAnsi="Times New Roman"/>
          <w:b/>
          <w:sz w:val="24"/>
        </w:rPr>
        <w:t>JAMA Network Open</w:t>
      </w:r>
      <w:r>
        <w:rPr>
          <w:rFonts w:ascii="Times New Roman" w:hAnsi="Times New Roman"/>
          <w:b w:val="0"/>
          <w:sz w:val="24"/>
        </w:rPr>
        <w:t>, v. 2, n. 12, e1917862, 2019.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