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30.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749694fff10e4ebde03d0cec7f27898cc0c077"/>
    <w:p>
      <w:pPr>
        <w:pStyle w:val="Heading1"/>
      </w:pPr>
      <w:r>
        <w:t xml:space="preserve">Development of a locked tooth-level early-childhood caries prediction model with a pre-specified external validation plan</w:t>
      </w:r>
    </w:p>
    <w:bookmarkStart w:id="9" w:name="abstract"/>
    <w:p>
      <w:pPr>
        <w:pStyle w:val="Heading2"/>
      </w:pPr>
      <w:r>
        <w:t xml:space="preserve">Abstract</w:t>
      </w:r>
    </w:p>
    <w:p>
      <w:pPr>
        <w:pStyle w:val="FirstParagraph"/>
      </w:pPr>
      <w:r>
        <w:rPr>
          <w:b/>
          <w:bCs/>
        </w:rPr>
        <w:t xml:space="preserve">Objectives:</w:t>
      </w:r>
      <w:r>
        <w:t xml:space="preserve"> </w:t>
      </w:r>
      <w:r>
        <w:t xml:space="preserve">To develop tooth-level early-childhood caries models from a public longitudinal cohort, assess internal performance with child-separated validation and training-only recalibration, lock a deployment candidate, and pre-specify the external validation to test it.</w:t>
      </w:r>
    </w:p>
    <w:p>
      <w:pPr>
        <w:pStyle w:val="BodyText"/>
      </w:pPr>
      <w:r>
        <w:rPr>
          <w:b/>
          <w:bCs/>
        </w:rPr>
        <w:t xml:space="preserve">Methods:</w:t>
      </w:r>
      <w:r>
        <w:t xml:space="preserve"> </w:t>
      </w:r>
      <w:r>
        <w:t xml:space="preserve">The outcome was progression from a healthy tooth to caries at the next consecutive visit, two to five months later. Penalised logistic models used minimal clinical or clinical-plus-spatial predictors. Five outer and three inner child-grouped folds separated tuning from evaluation. Recalibration used only outer-training children. Uncertainty used 1,000 paired child-cluster bootstrap samples of out-of-fold predictions. A final model was locked fail-closed; external sample size was computed from its effective degrees of freedom.</w:t>
      </w:r>
    </w:p>
    <w:p>
      <w:pPr>
        <w:pStyle w:val="BodyText"/>
      </w:pPr>
      <w:r>
        <w:rPr>
          <w:b/>
          <w:bCs/>
        </w:rPr>
        <w:t xml:space="preserve">Results:</w:t>
      </w:r>
      <w:r>
        <w:t xml:space="preserve"> </w:t>
      </w:r>
      <w:r>
        <w:t xml:space="preserve">We analysed 996 transitions, 83 events (8.33%), and 81 children. Average precision was 0.166 (95% interval 0.120–0.246) minimal and 0.178 (0.138–0.239) spatial; ROC areas 0.686 (0.618–0.754) and 0.737 (0.660–0.804). Paired model differences included zero. Intercept-and-slope recalibration reduced the minimal model’s held-out Brier score from 0.0806 to 0.0745 (difference −0.00610; 95% interval −0.01173 to −0.00067); the spatial change from 0.0754 to 0.0740 included zero. The locked primary model is the minimal model, chosen for predictor availability not performance. External validation needs 240 outcome events; development supplied 83, or 3.5 events per parameter.</w:t>
      </w:r>
    </w:p>
    <w:p>
      <w:pPr>
        <w:pStyle w:val="BodyText"/>
      </w:pPr>
      <w:r>
        <w:rPr>
          <w:b/>
          <w:bCs/>
        </w:rPr>
        <w:t xml:space="preserve">Conclusions:</w:t>
      </w:r>
      <w:r>
        <w:t xml:space="preserve"> </w:t>
      </w:r>
      <w:r>
        <w:t xml:space="preserve">Training-only recalibration improved one probability score in this exploratory internal evaluation. A locked model and pre-specified external validation protocol now exist, but no external validation has been performed. Spatial superiority, transportability, and clinical utility remain unestablished, and the artifact must not be used for patient-level decisions.</w:t>
      </w:r>
    </w:p>
    <w:p>
      <w:pPr>
        <w:pStyle w:val="BodyText"/>
      </w:pPr>
      <w:r>
        <w:rPr>
          <w:b/>
          <w:bCs/>
        </w:rPr>
        <w:t xml:space="preserve">Keywords:</w:t>
      </w:r>
      <w:r>
        <w:t xml:space="preserve"> </w:t>
      </w:r>
      <w:r>
        <w:t xml:space="preserve">early-childhood caries; clinical prediction; model development; locked model; external validation protocol; calibration.</w:t>
      </w:r>
    </w:p>
    <w:bookmarkEnd w:id="9"/>
    <w:bookmarkStart w:id="10" w:name="introduction"/>
    <w:p>
      <w:pPr>
        <w:pStyle w:val="Heading2"/>
      </w:pPr>
      <w:r>
        <w:t xml:space="preserve">1. Introduction</w:t>
      </w:r>
    </w:p>
    <w:p>
      <w:pPr>
        <w:pStyle w:val="FirstParagraph"/>
      </w:pPr>
      <w:r>
        <w:t xml:space="preserve">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published findings motivate research on tooth-level prediction but do not validate a different model or software implementation.</w:t>
      </w:r>
    </w:p>
    <w:p>
      <w:pPr>
        <w:pStyle w:val="BodyText"/>
      </w:pPr>
      <w:r>
        <w:t xml:space="preserve">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w:t>
      </w:r>
      <w:r>
        <w:t xml:space="preserve"> </w:t>
      </w:r>
      <w:r>
        <w:rPr>
          <w:rStyle w:val="VerbatimChar"/>
        </w:rPr>
        <w:t xml:space="preserve">CI_SMOKE</w:t>
      </w:r>
      <w:r>
        <w:t xml:space="preserve"> </w:t>
      </w:r>
      <w:r>
        <w:t xml:space="preserve">notebook executed the synthetic branch; its v1.9.1 architecture diagram described a broader protocol. Neither artifact alone established performance in real children.</w:t>
      </w:r>
    </w:p>
    <w:p>
      <w:pPr>
        <w:pStyle w:val="BodyText"/>
      </w:pPr>
      <w:r>
        <w:t xml:space="preserve">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BodyText"/>
      </w:pPr>
      <w:r>
        <w:t xml:space="preserve">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w:t>
      </w:r>
    </w:p>
    <w:bookmarkEnd w:id="10"/>
    <w:bookmarkStart w:id="21" w:name="materials-and-methods"/>
    <w:p>
      <w:pPr>
        <w:pStyle w:val="Heading2"/>
      </w:pPr>
      <w:r>
        <w:t xml:space="preserve">2. Materials and methods</w:t>
      </w:r>
    </w:p>
    <w:bookmarkStart w:id="15" w:name="study-design-source-and-provenance"/>
    <w:p>
      <w:pPr>
        <w:pStyle w:val="Heading3"/>
      </w:pPr>
      <w:r>
        <w:t xml:space="preserve">2.1. Study design, source, and provenance</w:t>
      </w:r>
    </w:p>
    <w:p>
      <w:pPr>
        <w:pStyle w:val="FirstParagraph"/>
      </w:pPr>
      <w:r>
        <w:t xml:space="preserve">This was a secondary analysis of the public</w:t>
      </w:r>
      <w:r>
        <w:t xml:space="preserve"> </w:t>
      </w:r>
      <w:r>
        <w:rPr>
          <w:rStyle w:val="VerbatimChar"/>
        </w:rPr>
        <w:t xml:space="preserve">all_metadata</w:t>
      </w:r>
      <w:r>
        <w:t xml:space="preserve"> </w:t>
      </w:r>
      <w:r>
        <w:t xml:space="preserve">worksheet in the source study’s</w:t>
      </w:r>
      <w:r>
        <w:t xml:space="preserve"> </w:t>
      </w:r>
      <w:r>
        <w:rPr>
          <w:rStyle w:val="VerbatimChar"/>
        </w:rPr>
        <w:t xml:space="preserve">Table_S1.xlsx</w:t>
      </w:r>
      <w:r>
        <w:t xml:space="preserve">, obtained from the authors’</w:t>
      </w:r>
      <w:r>
        <w:t xml:space="preserve"> </w:t>
      </w:r>
      <w:hyperlink r:id="rId11">
        <w:r>
          <w:rPr>
            <w:rStyle w:val="Hyperlink"/>
          </w:rPr>
          <w:t xml:space="preserve">Single-tooth-ECC repository</w:t>
        </w:r>
      </w:hyperlink>
      <w:r>
        <w:t xml:space="preserve"> </w:t>
      </w:r>
      <w:r>
        <w:t xml:space="preserve">at commit</w:t>
      </w:r>
      <w:r>
        <w:t xml:space="preserve"> </w:t>
      </w:r>
      <w:r>
        <w:rPr>
          <w:rStyle w:val="VerbatimChar"/>
        </w:rPr>
        <w:t xml:space="preserve">e5868fe5</w:t>
      </w:r>
      <w:r>
        <w:t xml:space="preserve">. The exact file used in this analysis had SHA-256</w:t>
      </w:r>
      <w:r>
        <w:t xml:space="preserve"> </w:t>
      </w:r>
      <w:r>
        <w:rPr>
          <w:rStyle w:val="VerbatimChar"/>
        </w:rPr>
        <w:t xml:space="preserve">b7819fee81efbe2e227b7700c3cd86ce8bc6f7fe6f49da6214f4107d099184fa</w:t>
      </w:r>
      <w:r>
        <w:t xml:space="preserve">;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w:t>
      </w:r>
      <w:r>
        <w:t xml:space="preserve"> </w:t>
      </w:r>
      <w:r>
        <w:rPr>
          <w:rStyle w:val="VerbatimChar"/>
        </w:rPr>
        <w:t xml:space="preserve">CI_SMOKE</w:t>
      </w:r>
      <w:r>
        <w:t xml:space="preserve"> </w:t>
      </w:r>
      <w:r>
        <w:t xml:space="preserve">output.</w:t>
      </w:r>
    </w:p>
    <w:p>
      <w:pPr>
        <w:pStyle w:val="BodyText"/>
      </w:pPr>
      <w:r>
        <w:t xml:space="preserve">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BodyText"/>
      </w:pPr>
      <w:r>
        <w:rPr>
          <w:b/>
          <w:bCs/>
        </w:rPr>
        <w:t xml:space="preserve">Sampling provenance, and what we could not verify.</w:t>
      </w:r>
      <w:r>
        <w:t xml:space="preserve"> </w:t>
      </w:r>
      <w:r>
        <w:t xml:space="preserve">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BodyText"/>
      </w:pPr>
      <w:r>
        <w:rPr>
          <w:b/>
          <w:bCs/>
        </w:rPr>
        <w:t xml:space="preserve">Control group.</w:t>
      </w:r>
      <w:r>
        <w:t xml:space="preserve"> </w:t>
      </w:r>
      <w:r>
        <w:t xml:space="preserve">This is a prognostic and diagnostic-prediction cohort study, not an intervention study, so no control group applies and none was constructed. The comparator structure is internal: the clinical-minimal model serves as the reference standard against which the clinical-spatial model is judged, and the fold-specific training-prevalence model serves as the reference for probability scores. These are analytical comparators, not control groups, and they do not substitute for one. No randomisation or masking was involved.</w:t>
      </w:r>
    </w:p>
    <w:p>
      <w:pPr>
        <w:pStyle w:val="CaptionedFigure"/>
      </w:pPr>
      <w:r>
        <w:drawing>
          <wp:inline>
            <wp:extent cx="5334000" cy="4267199"/>
            <wp:effectExtent b="0" l="0" r="0" t="0"/>
            <wp:docPr descr="Figure 1. Evidence workflow for the present study. Blue paths were executed in separate analyses: the original synthetic technical path and the public-cohort clinical reconstruction with internal prediction reported here. Amber paths are proposed microbiome and image research that was not executed. External validation and matched-cohort fusion remain prerequisites before any clinical claim. This schematic was prepared with the assistance of OpenAI Codex; author verification of its content and terminology is required before submission." title="" id="13" name="Picture"/>
            <a:graphic>
              <a:graphicData uri="http://schemas.openxmlformats.org/drawingml/2006/picture">
                <pic:pic>
                  <pic:nvPicPr>
                    <pic:cNvPr descr="manuscript_assets/Figure_1_pipeline_v2_compact.png" id="14" name="Picture"/>
                    <pic:cNvPicPr>
                      <a:picLocks noChangeArrowheads="1" noChangeAspect="1"/>
                    </pic:cNvPicPr>
                  </pic:nvPicPr>
                  <pic:blipFill>
                    <a:blip r:embed="rId12"/>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pPr>
      <w:r>
        <w:t xml:space="preserve">Figure 1. Evidence workflow for the present study. Blue paths were executed in separate analyses: the original synthetic technical path and the public-cohort clinical reconstruction with internal prediction reported here. Amber paths are proposed microbiome and image research that was not executed. External validation and matched-cohort fusion remain prerequisites before any clinical claim. This schematic was prepared with the assistance of OpenAI Codex; author verification of its content and terminology is required before submission.</w:t>
      </w:r>
    </w:p>
    <w:bookmarkEnd w:id="15"/>
    <w:bookmarkStart w:id="16" w:name="tooth-transitions-and-analysis-cohort"/>
    <w:p>
      <w:pPr>
        <w:pStyle w:val="Heading3"/>
      </w:pPr>
      <w:r>
        <w:t xml:space="preserve">2.2. Tooth transitions and analysis cohort</w:t>
      </w:r>
    </w:p>
    <w:p>
      <w:pPr>
        <w:pStyle w:val="FirstParagraph"/>
      </w:pPr>
      <w:r>
        <w:t xml:space="preserve">The published spreadsheet contains patient, tooth-position, visit, and current tooth-status fields. We mapped the 20 primary-tooth positions to FDI identifiers, removed composite position</w:t>
      </w:r>
      <w:r>
        <w:t xml:space="preserve"> </w:t>
      </w:r>
      <w:r>
        <w:rPr>
          <w:rStyle w:val="VerbatimChar"/>
        </w:rPr>
        <w:t xml:space="preserve">T5161</w:t>
      </w:r>
      <w:r>
        <w:t xml:space="preserve"> </w:t>
      </w:r>
      <w:r>
        <w:t xml:space="preserve">from individual-tooth modelling, and linked each child’s same tooth to its next recorded visit. Only consecutive visit indices were retained. The binary outcome was</w:t>
      </w:r>
      <w:r>
        <w:t xml:space="preserve"> </w:t>
      </w:r>
      <w:r>
        <w:rPr>
          <w:rStyle w:val="VerbatimChar"/>
        </w:rPr>
        <w:t xml:space="preserve">H→C</w:t>
      </w:r>
      <w:r>
        <w:t xml:space="preserve"> </w:t>
      </w:r>
      <w:r>
        <w:t xml:space="preserve">versus</w:t>
      </w:r>
      <w:r>
        <w:t xml:space="preserve"> </w:t>
      </w:r>
      <w:r>
        <w:rPr>
          <w:rStyle w:val="VerbatimChar"/>
        </w:rPr>
        <w:t xml:space="preserve">H→H</w:t>
      </w:r>
      <w:r>
        <w:t xml:space="preserve">, where</w:t>
      </w:r>
      <w:r>
        <w:t xml:space="preserve"> </w:t>
      </w:r>
      <w:r>
        <w:rPr>
          <w:rStyle w:val="VerbatimChar"/>
        </w:rPr>
        <w:t xml:space="preserve">H</w:t>
      </w:r>
      <w:r>
        <w:t xml:space="preserve"> </w:t>
      </w:r>
      <w:r>
        <w:t xml:space="preserve">means clinically healthy at visit</w:t>
      </w:r>
      <w:r>
        <w:t xml:space="preserve"> </w:t>
      </w:r>
      <w:r>
        <w:rPr>
          <w:i/>
          <w:iCs/>
        </w:rPr>
        <w:t xml:space="preserve">t</w:t>
      </w:r>
      <w:r>
        <w:t xml:space="preserve"> </w:t>
      </w:r>
      <w:r>
        <w:t xml:space="preserve">and</w:t>
      </w:r>
      <w:r>
        <w:t xml:space="preserve"> </w:t>
      </w:r>
      <w:r>
        <w:rPr>
          <w:rStyle w:val="VerbatimChar"/>
        </w:rPr>
        <w:t xml:space="preserve">C</w:t>
      </w:r>
      <w:r>
        <w:t xml:space="preserve"> </w:t>
      </w:r>
      <w:r>
        <w:t xml:space="preserve">means carious at the next visit. Teeth already carious at</w:t>
      </w:r>
      <w:r>
        <w:t xml:space="preserve"> </w:t>
      </w:r>
      <w:r>
        <w:rPr>
          <w:i/>
          <w:iCs/>
        </w:rPr>
        <w:t xml:space="preserve">t</w:t>
      </w:r>
      <w:r>
        <w:t xml:space="preserve"> </w:t>
      </w:r>
      <w:r>
        <w:t xml:space="preserve">were excluded from onset prediction. Current-visit neighbour status and host caries experience were derived or taken from the visit-</w:t>
      </w:r>
      <w:r>
        <w:rPr>
          <w:i/>
          <w:iCs/>
        </w:rPr>
        <w:t xml:space="preserve">t</w:t>
      </w:r>
      <w:r>
        <w:t xml:space="preserve"> </w:t>
      </w:r>
      <w:r>
        <w:t xml:space="preserve">record. Source-defined</w:t>
      </w:r>
      <w:r>
        <w:t xml:space="preserve"> </w:t>
      </w:r>
      <w:r>
        <w:rPr>
          <w:rStyle w:val="VerbatimChar"/>
        </w:rPr>
        <w:t xml:space="preserve">HostGroup</w:t>
      </w:r>
      <w:r>
        <w:t xml:space="preserve">, future tooth status, time to decay, next-visit status, and follow-up interval were barred from predictors.</w:t>
      </w:r>
    </w:p>
    <w:p>
      <w:pPr>
        <w:pStyle w:val="BodyText"/>
      </w:pPr>
      <w:r>
        <w:t xml:space="preserve">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BodyText"/>
      </w:pPr>
      <w:r>
        <w:t xml:space="preserve">The notebook’s original transition rule yielded 997 eligible</w:t>
      </w:r>
      <w:r>
        <w:t xml:space="preserve"> </w:t>
      </w:r>
      <w:r>
        <w:rPr>
          <w:rStyle w:val="VerbatimChar"/>
        </w:rPr>
        <w:t xml:space="preserve">H</w:t>
      </w:r>
      <w:r>
        <w:t xml:space="preserve"> </w:t>
      </w:r>
      <w:r>
        <w:t xml:space="preserve">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bookmarkEnd w:id="16"/>
    <w:bookmarkStart w:id="17" w:name="candidate-models"/>
    <w:p>
      <w:pPr>
        <w:pStyle w:val="Heading3"/>
      </w:pPr>
      <w:r>
        <w:t xml:space="preserve">2.3. Candidate models</w:t>
      </w:r>
    </w:p>
    <w:p>
      <w:pPr>
        <w:pStyle w:val="FirstParagraph"/>
      </w:pPr>
      <w:r>
        <w:t xml:space="preserve">Two penalised logistic-regression feature sets were defined in the analysis code before fitting. No prospectively registered analysis protocol was available. The</w:t>
      </w:r>
      <w:r>
        <w:t xml:space="preserve"> </w:t>
      </w:r>
      <w:r>
        <w:rPr>
          <w:b/>
          <w:bCs/>
        </w:rPr>
        <w:t xml:space="preserve">minimal clinical</w:t>
      </w:r>
      <w:r>
        <w:t xml:space="preserve"> </w:t>
      </w:r>
      <w:r>
        <w:t xml:space="preserve">model used tooth position, age in months at</w:t>
      </w:r>
      <w:r>
        <w:t xml:space="preserve"> </w:t>
      </w:r>
      <w:r>
        <w:rPr>
          <w:i/>
          <w:iCs/>
        </w:rPr>
        <w:t xml:space="preserve">t</w:t>
      </w:r>
      <w:r>
        <w:t xml:space="preserve">, host dmfs at</w:t>
      </w:r>
      <w:r>
        <w:t xml:space="preserve"> </w:t>
      </w:r>
      <w:r>
        <w:rPr>
          <w:i/>
          <w:iCs/>
        </w:rPr>
        <w:t xml:space="preserve">t</w:t>
      </w:r>
      <w:r>
        <w:t xml:space="preserve">, and the number of adjacent carious teeth at</w:t>
      </w:r>
      <w:r>
        <w:t xml:space="preserve"> </w:t>
      </w:r>
      <w:r>
        <w:rPr>
          <w:i/>
          <w:iCs/>
        </w:rPr>
        <w:t xml:space="preserve">t</w:t>
      </w:r>
      <w:r>
        <w:t xml:space="preserve">. The</w:t>
      </w:r>
      <w:r>
        <w:t xml:space="preserve"> </w:t>
      </w:r>
      <w:r>
        <w:rPr>
          <w:b/>
          <w:bCs/>
        </w:rPr>
        <w:t xml:space="preserve">clinical-spatial</w:t>
      </w:r>
      <w:r>
        <w:t xml:space="preserve"> </w:t>
      </w:r>
      <w:r>
        <w:t xml:space="preserve">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BodyText"/>
      </w:pPr>
      <w:r>
        <w:t xml:space="preserve">Categorical fields were imputed by the most frequent training value and one-hot encoded; numeric fields were median-imputed and standardised. All operations were fitted on training rows within each fold. The regularisation parameter</w:t>
      </w:r>
      <w:r>
        <w:t xml:space="preserve"> </w:t>
      </w:r>
      <w:r>
        <w:rPr>
          <w:rStyle w:val="VerbatimChar"/>
        </w:rPr>
        <w:t xml:space="preserve">C</w:t>
      </w:r>
      <w:r>
        <w:t xml:space="preserve"> </w:t>
      </w:r>
      <w:r>
        <w:t xml:space="preserve">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bookmarkEnd w:id="17"/>
    <w:bookmarkStart w:id="18" w:name="validation-and-uncertainty"/>
    <w:p>
      <w:pPr>
        <w:pStyle w:val="Heading3"/>
      </w:pPr>
      <w:r>
        <w:t xml:space="preserve">2.4. Validation and uncertainty</w:t>
      </w:r>
    </w:p>
    <w:p>
      <w:pPr>
        <w:pStyle w:val="FirstParagraph"/>
      </w:pPr>
      <w:r>
        <w:t xml:space="preserve">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BodyText"/>
      </w:pPr>
      <w:r>
        <w:t xml:space="preserve">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with a locked model and suitable sample size, remains necessary [22].</w:t>
      </w:r>
    </w:p>
    <w:p>
      <w:pPr>
        <w:pStyle w:val="BodyText"/>
      </w:pPr>
      <w:r>
        <w:t xml:space="preserve">Sample size for development was determined by the available public cohort; no formal development sample-size calculation was performed. No clinical decision threshold was established, and none is proposed.</w:t>
      </w:r>
    </w:p>
    <w:bookmarkEnd w:id="18"/>
    <w:bookmarkStart w:id="19" w:name="Xafe3667fdca2d6fcc1d067030600648d2ae44d4"/>
    <w:p>
      <w:pPr>
        <w:pStyle w:val="Heading3"/>
      </w:pPr>
      <w:r>
        <w:t xml:space="preserve">2.5. Locked final model and external validation plan</w:t>
      </w:r>
    </w:p>
    <w:p>
      <w:pPr>
        <w:pStyle w:val="FirstParagraph"/>
      </w:pPr>
      <w:r>
        <w:t xml:space="preserve">To convert this development study into a testable clinical prediction claim, we locked a final model and specified an external validation protocol in advance of any external data.</w:t>
      </w:r>
    </w:p>
    <w:p>
      <w:pPr>
        <w:pStyle w:val="BodyText"/>
      </w:pPr>
      <w:r>
        <w:rPr>
          <w:b/>
          <w:bCs/>
        </w:rPr>
        <w:t xml:space="preserve">Primary model.</w:t>
      </w:r>
      <w:r>
        <w:t xml:space="preserve"> </w:t>
      </w:r>
      <w:r>
        <w:t xml:space="preserve">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BodyText"/>
      </w:pPr>
      <w:r>
        <w:rPr>
          <w:b/>
          <w:bCs/>
        </w:rPr>
        <w:t xml:space="preserve">Locking procedure.</w:t>
      </w:r>
      <w:r>
        <w:t xml:space="preserve"> </w:t>
      </w:r>
      <w:r>
        <w:t xml:space="preserve">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BodyText"/>
      </w:pPr>
      <w:r>
        <w:rPr>
          <w:b/>
          <w:bCs/>
        </w:rPr>
        <w:t xml:space="preserve">Honest reporting of the locked artifact.</w:t>
      </w:r>
      <w:r>
        <w:t xml:space="preserve"> </w:t>
      </w:r>
      <w:r>
        <w:t xml:space="preserve">Because the regularisation value was chosen once on the full cohort, the artifact’s cross-fitted metrics are optimistic relative to the fold-wise estimates reported in Section 3.2. The artifact’s apparent resubstitution metrics are optimistic still.</w:t>
      </w:r>
      <w:r>
        <w:t xml:space="preserve"> </w:t>
      </w:r>
      <w:r>
        <w:rPr>
          <w:b/>
          <w:bCs/>
        </w:rPr>
        <w:t xml:space="preserve">Performance reporting must cite the fold-wise out-of-fold estimates in Section 3.2, not the artifact’s own metric fields.</w:t>
      </w:r>
      <w:r>
        <w:t xml:space="preserve"> </w:t>
      </w:r>
      <w:r>
        <w:t xml:space="preserve">The model card states this explicitly so that the artifact cannot be misread as validation evidence.</w:t>
      </w:r>
    </w:p>
    <w:p>
      <w:pPr>
        <w:pStyle w:val="BodyText"/>
      </w:pPr>
      <w:r>
        <w:rPr>
          <w:b/>
          <w:bCs/>
        </w:rPr>
        <w:t xml:space="preserve">Sample size for external validation.</w:t>
      </w:r>
      <w:r>
        <w:t xml:space="preserve"> </w:t>
      </w:r>
      <w:r>
        <w:t xml:space="preserve">Following Riley et al., required outcome events were computed as max(100, 10 × effective degrees of freedom). The primary model has 24 effective degrees of freedom, giving</w:t>
      </w:r>
      <w:r>
        <w:t xml:space="preserve"> </w:t>
      </w:r>
      <w:r>
        <w:rPr>
          <w:b/>
          <w:bCs/>
        </w:rPr>
        <w:t xml:space="preserve">240 required outcome events</w:t>
      </w:r>
      <w:r>
        <w:t xml:space="preserve">. At the development prevalence of 8.33% this corresponds to 2,882 tooth transitions, or approximately 241 children; at a more conservative 5% prevalence, 4,800 transitions or approximately 400 children. For comparison, the development cohort provided 83 events for 24 degrees of freedom, that is</w:t>
      </w:r>
      <w:r>
        <w:t xml:space="preserve"> </w:t>
      </w:r>
      <w:r>
        <w:rPr>
          <w:b/>
          <w:bCs/>
        </w:rPr>
        <w:t xml:space="preserve">3.5 events per parameter</w:t>
      </w:r>
      <w:r>
        <w:t xml:space="preserve"> </w:t>
      </w:r>
      <w:r>
        <w:t xml:space="preserve">against the 10 recommended. This deficit is the central PROBAST+AI Analysis-domain finding and the direct justification for the external study.</w:t>
      </w:r>
    </w:p>
    <w:p>
      <w:pPr>
        <w:pStyle w:val="BodyText"/>
      </w:pPr>
      <w:r>
        <w:rPr>
          <w:b/>
          <w:bCs/>
        </w:rPr>
        <w:t xml:space="preserve">Pre-specified external validation.</w:t>
      </w:r>
      <w:r>
        <w:t xml:space="preserve"> </w:t>
      </w:r>
      <w:r>
        <w:t xml:space="preserve">The protocol fixes the primary endpoints (discrimination by AUROC with child-level bootstrap intervals; calibration slope and absolute calibration error), the secondary endpoints (Brier score, log loss, AUPRC, and net benefit at pre-specified thresholds of 0.05, 0.10, and 0.20), the subgroups (age band, sex, dmfs band, centre), and the decision rule: the model is declared non-transportable if the AUROC point estimate is below 0.65, if the confidence interval for the calibration slope excludes one, or if absolute calibration error exceeds 0.05. A negative result is an anticipated and reportable outcome. The protocol is to be registered before recruitment begins, and external centres score the cohort exclusively with the published inference script. The full protocol, including governance, consent, and analysis reporting requirements, is provided as a supplementary file; no external validation has been performed and no external result is claimed here.</w:t>
      </w:r>
    </w:p>
    <w:bookmarkEnd w:id="19"/>
    <w:bookmarkStart w:id="20" w:name="technical-audit-and-analysis-boundary"/>
    <w:p>
      <w:pPr>
        <w:pStyle w:val="Heading3"/>
      </w:pPr>
      <w:r>
        <w:t xml:space="preserve">2.6. Technical audit and analysis boundary</w:t>
      </w:r>
    </w:p>
    <w:p>
      <w:pPr>
        <w:pStyle w:val="FirstParagraph"/>
      </w:pPr>
      <w:r>
        <w:t xml:space="preserve">The supplied v1.3.2 notebook was inspected for outcome timing, grouped partitioning, and test quality. Its saved</w:t>
      </w:r>
      <w:r>
        <w:t xml:space="preserve"> </w:t>
      </w:r>
      <w:r>
        <w:rPr>
          <w:rStyle w:val="VerbatimChar"/>
        </w:rPr>
        <w:t xml:space="preserve">CI_SMOKE</w:t>
      </w:r>
      <w:r>
        <w:t xml:space="preserve"> </w:t>
      </w:r>
      <w:r>
        <w:t xml:space="preserve">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BodyText"/>
      </w:pPr>
      <w:r>
        <w:t xml:space="preserve">OpenAI Codex assisted with analysis-code review, execution, translation, and figure scripts; GPT-6 was used for this editorial revision. Earlier session model identifiers were not recorded. Figures were rendered by deterministic Python/Matplotlib scripts from the documented workflow or numerical outputs. No generative image model was used to fabricate observations or primary research images. This assistance does not replace author verification of code, results, or interpretations.</w:t>
      </w:r>
    </w:p>
    <w:bookmarkEnd w:id="20"/>
    <w:bookmarkEnd w:id="21"/>
    <w:bookmarkStart w:id="39" w:name="results"/>
    <w:p>
      <w:pPr>
        <w:pStyle w:val="Heading2"/>
      </w:pPr>
      <w:r>
        <w:t xml:space="preserve">3. Results</w:t>
      </w:r>
    </w:p>
    <w:bookmarkStart w:id="25" w:name="source-cohort-reconstruction"/>
    <w:p>
      <w:pPr>
        <w:pStyle w:val="Heading3"/>
      </w:pPr>
      <w:r>
        <w:t xml:space="preserve">3.1. Source-cohort reconstruction</w:t>
      </w:r>
    </w:p>
    <w:p>
      <w:pPr>
        <w:pStyle w:val="FirstParagraph"/>
      </w:pPr>
      <w:r>
        <w:t xml:space="preserve">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and no</w:t>
      </w:r>
      <w:r>
        <w:t xml:space="preserve"> </w:t>
      </w:r>
      <w:r>
        <w:rPr>
          <w:rStyle w:val="VerbatimChar"/>
        </w:rPr>
        <w:t xml:space="preserve">C→H</w:t>
      </w:r>
      <w:r>
        <w:t xml:space="preserve"> </w:t>
      </w:r>
      <w:r>
        <w:t xml:space="preserve">transitions. Thus the original onset cohort contained 997 healthy-at-</w:t>
      </w:r>
      <w:r>
        <w:rPr>
          <w:i/>
          <w:iCs/>
        </w:rPr>
        <w:t xml:space="preserve">t</w:t>
      </w:r>
      <w:r>
        <w:t xml:space="preserve"> </w:t>
      </w:r>
      <w:r>
        <w:t xml:space="preserve">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BodyText"/>
      </w:pPr>
      <w:r>
        <w:rPr>
          <w:b/>
          <w:bCs/>
        </w:rPr>
        <w:t xml:space="preserve">Table 1. Reproduction of the published-source cohort and definition of the predictive analysis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right"/>
            </w:pPr>
            <w:r>
              <w:t xml:space="preserve">Records</w:t>
            </w:r>
          </w:p>
        </w:tc>
        <w:tc>
          <w:tcPr/>
          <w:p>
            <w:pPr>
              <w:pStyle w:val="Compact"/>
              <w:jc w:val="left"/>
            </w:pPr>
            <w:r>
              <w:t xml:space="preserve">Children or events</w:t>
            </w:r>
          </w:p>
        </w:tc>
        <w:tc>
          <w:tcPr/>
          <w:p>
            <w:pPr>
              <w:pStyle w:val="Compact"/>
              <w:jc w:val="left"/>
            </w:pPr>
            <w:r>
              <w:t xml:space="preserve">Interpretation</w:t>
            </w:r>
          </w:p>
        </w:tc>
      </w:tr>
      <w:tr>
        <w:tc>
          <w:tcPr/>
          <w:p>
            <w:pPr>
              <w:pStyle w:val="Compact"/>
              <w:jc w:val="left"/>
            </w:pPr>
            <w:r>
              <w:t xml:space="preserve">Public</w:t>
            </w:r>
            <w:r>
              <w:t xml:space="preserve"> </w:t>
            </w:r>
            <w:r>
              <w:rPr>
                <w:rStyle w:val="VerbatimChar"/>
              </w:rPr>
              <w:t xml:space="preserve">all_metadata</w:t>
            </w:r>
            <w:r>
              <w:t xml:space="preserve"> </w:t>
            </w:r>
            <w:r>
              <w:t xml:space="preserve">worksheet</w:t>
            </w:r>
          </w:p>
        </w:tc>
        <w:tc>
          <w:tcPr/>
          <w:p>
            <w:pPr>
              <w:pStyle w:val="Compact"/>
              <w:jc w:val="right"/>
            </w:pPr>
            <w:r>
              <w:t xml:space="preserve">2,504</w:t>
            </w:r>
          </w:p>
        </w:tc>
        <w:tc>
          <w:tcPr/>
          <w:p>
            <w:pPr>
              <w:pStyle w:val="Compact"/>
              <w:jc w:val="left"/>
            </w:pPr>
            <w:r>
              <w:t xml:space="preserve">89 children</w:t>
            </w:r>
          </w:p>
        </w:tc>
        <w:tc>
          <w:tcPr/>
          <w:p>
            <w:pPr>
              <w:pStyle w:val="Compact"/>
              <w:jc w:val="left"/>
            </w:pPr>
            <w:r>
              <w:t xml:space="preserve">Source records, before tooth filtering</w:t>
            </w:r>
          </w:p>
        </w:tc>
      </w:tr>
      <w:tr>
        <w:tc>
          <w:tcPr/>
          <w:p>
            <w:pPr>
              <w:pStyle w:val="Compact"/>
              <w:jc w:val="left"/>
            </w:pPr>
            <w:r>
              <w:t xml:space="preserve">Composite position</w:t>
            </w:r>
            <w:r>
              <w:t xml:space="preserve"> </w:t>
            </w:r>
            <w:r>
              <w:rPr>
                <w:rStyle w:val="VerbatimChar"/>
              </w:rPr>
              <w:t xml:space="preserve">T5161</w:t>
            </w:r>
          </w:p>
        </w:tc>
        <w:tc>
          <w:tcPr/>
          <w:p>
            <w:pPr>
              <w:pStyle w:val="Compact"/>
              <w:jc w:val="right"/>
            </w:pPr>
            <w:r>
              <w:t xml:space="preserve">220</w:t>
            </w:r>
          </w:p>
        </w:tc>
        <w:tc>
          <w:tcPr/>
          <w:p>
            <w:pPr>
              <w:pStyle w:val="Compact"/>
              <w:jc w:val="left"/>
            </w:pPr>
            <w:r>
              <w:t xml:space="preserve">—</w:t>
            </w:r>
          </w:p>
        </w:tc>
        <w:tc>
          <w:tcPr/>
          <w:p>
            <w:pPr>
              <w:pStyle w:val="Compact"/>
              <w:jc w:val="left"/>
            </w:pPr>
            <w:r>
              <w:t xml:space="preserve">Excluded from individual-tooth modelling</w:t>
            </w:r>
          </w:p>
        </w:tc>
      </w:tr>
      <w:tr>
        <w:tc>
          <w:tcPr/>
          <w:p>
            <w:pPr>
              <w:pStyle w:val="Compact"/>
              <w:jc w:val="left"/>
            </w:pPr>
            <w:r>
              <w:t xml:space="preserve">Single-tooth rows</w:t>
            </w:r>
          </w:p>
        </w:tc>
        <w:tc>
          <w:tcPr/>
          <w:p>
            <w:pPr>
              <w:pStyle w:val="Compact"/>
              <w:jc w:val="right"/>
            </w:pPr>
            <w:r>
              <w:t xml:space="preserve">2,284</w:t>
            </w:r>
          </w:p>
        </w:tc>
        <w:tc>
          <w:tcPr/>
          <w:p>
            <w:pPr>
              <w:pStyle w:val="Compact"/>
              <w:jc w:val="left"/>
            </w:pPr>
            <w:r>
              <w:t xml:space="preserve">—</w:t>
            </w:r>
          </w:p>
        </w:tc>
        <w:tc>
          <w:tcPr/>
          <w:p>
            <w:pPr>
              <w:pStyle w:val="Compact"/>
              <w:jc w:val="left"/>
            </w:pPr>
            <w:r>
              <w:t xml:space="preserve">Tooth-level records</w:t>
            </w:r>
          </w:p>
        </w:tc>
      </w:tr>
      <w:tr>
        <w:tc>
          <w:tcPr/>
          <w:p>
            <w:pPr>
              <w:pStyle w:val="Compact"/>
              <w:jc w:val="left"/>
            </w:pPr>
            <w:r>
              <w:t xml:space="preserve">Same-tooth observed transitions</w:t>
            </w:r>
          </w:p>
        </w:tc>
        <w:tc>
          <w:tcPr/>
          <w:p>
            <w:pPr>
              <w:pStyle w:val="Compact"/>
              <w:jc w:val="right"/>
            </w:pPr>
            <w:r>
              <w:t xml:space="preserve">1,388</w:t>
            </w:r>
          </w:p>
        </w:tc>
        <w:tc>
          <w:tcPr/>
          <w:p>
            <w:pPr>
              <w:pStyle w:val="Compact"/>
              <w:jc w:val="left"/>
            </w:pPr>
            <w:r>
              <w:t xml:space="preserve">—</w:t>
            </w:r>
          </w:p>
        </w:tc>
        <w:tc>
          <w:tcPr/>
          <w:p>
            <w:pPr>
              <w:pStyle w:val="Compact"/>
              <w:jc w:val="left"/>
            </w:pPr>
            <w:r>
              <w:t xml:space="preserve">Any successive recorded visits</w:t>
            </w:r>
          </w:p>
        </w:tc>
      </w:tr>
      <w:tr>
        <w:tc>
          <w:tcPr/>
          <w:p>
            <w:pPr>
              <w:pStyle w:val="Compact"/>
              <w:jc w:val="left"/>
            </w:pPr>
            <w:r>
              <w:t xml:space="preserve">Consecutive-index transitions</w:t>
            </w:r>
          </w:p>
        </w:tc>
        <w:tc>
          <w:tcPr/>
          <w:p>
            <w:pPr>
              <w:pStyle w:val="Compact"/>
              <w:jc w:val="right"/>
            </w:pPr>
            <w:r>
              <w:t xml:space="preserve">1,160</w:t>
            </w:r>
          </w:p>
        </w:tc>
        <w:tc>
          <w:tcPr/>
          <w:p>
            <w:pPr>
              <w:pStyle w:val="Compact"/>
              <w:jc w:val="left"/>
            </w:pPr>
            <w:r>
              <w:t xml:space="preserve">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0</w:t>
            </w:r>
            <w:r>
              <w:t xml:space="preserve"> </w:t>
            </w:r>
            <w:r>
              <w:rPr>
                <w:rStyle w:val="VerbatimChar"/>
              </w:rPr>
              <w:t xml:space="preserve">C→H</w:t>
            </w:r>
          </w:p>
        </w:tc>
        <w:tc>
          <w:tcPr/>
          <w:p>
            <w:pPr>
              <w:pStyle w:val="Compact"/>
              <w:jc w:val="left"/>
            </w:pPr>
            <w:r>
              <w:t xml:space="preserve">Exact notebook rule</w:t>
            </w:r>
          </w:p>
        </w:tc>
      </w:tr>
      <w:tr>
        <w:tc>
          <w:tcPr/>
          <w:p>
            <w:pPr>
              <w:pStyle w:val="Compact"/>
              <w:jc w:val="left"/>
            </w:pPr>
            <w:r>
              <w:t xml:space="preserve">Healthy-at-</w:t>
            </w:r>
            <w:r>
              <w:rPr>
                <w:i/>
                <w:iCs/>
              </w:rPr>
              <w:t xml:space="preserve">t</w:t>
            </w:r>
            <w:r>
              <w:t xml:space="preserve"> </w:t>
            </w:r>
            <w:r>
              <w:t xml:space="preserve">onset cohort</w:t>
            </w:r>
          </w:p>
        </w:tc>
        <w:tc>
          <w:tcPr/>
          <w:p>
            <w:pPr>
              <w:pStyle w:val="Compact"/>
              <w:jc w:val="right"/>
            </w:pPr>
            <w:r>
              <w:t xml:space="preserve">997</w:t>
            </w:r>
          </w:p>
        </w:tc>
        <w:tc>
          <w:tcPr/>
          <w:p>
            <w:pPr>
              <w:pStyle w:val="Compact"/>
              <w:jc w:val="left"/>
            </w:pPr>
            <w:r>
              <w:t xml:space="preserve">84 events</w:t>
            </w:r>
          </w:p>
        </w:tc>
        <w:tc>
          <w:tcPr/>
          <w:p>
            <w:pPr>
              <w:pStyle w:val="Compact"/>
              <w:jc w:val="left"/>
            </w:pPr>
            <w:r>
              <w:t xml:space="preserve">Reproduced source target counts</w:t>
            </w:r>
          </w:p>
        </w:tc>
      </w:tr>
      <w:tr>
        <w:tc>
          <w:tcPr/>
          <w:p>
            <w:pPr>
              <w:pStyle w:val="Compact"/>
              <w:jc w:val="left"/>
            </w:pPr>
            <w:r>
              <w:t xml:space="preserve">Primary predictive analysis</w:t>
            </w:r>
          </w:p>
        </w:tc>
        <w:tc>
          <w:tcPr/>
          <w:p>
            <w:pPr>
              <w:pStyle w:val="Compact"/>
              <w:jc w:val="right"/>
            </w:pPr>
            <w:r>
              <w:t xml:space="preserve">996</w:t>
            </w:r>
          </w:p>
        </w:tc>
        <w:tc>
          <w:tcPr/>
          <w:p>
            <w:pPr>
              <w:pStyle w:val="Compact"/>
              <w:jc w:val="left"/>
            </w:pPr>
            <w:r>
              <w:t xml:space="preserve">83 events; 81 children</w:t>
            </w:r>
          </w:p>
        </w:tc>
        <w:tc>
          <w:tcPr/>
          <w:p>
            <w:pPr>
              <w:pStyle w:val="Compact"/>
              <w:jc w:val="left"/>
            </w:pPr>
            <w:r>
              <w:t xml:space="preserve">One zero-month interval excluded</w:t>
            </w:r>
          </w:p>
        </w:tc>
      </w:tr>
    </w:tbl>
    <w:p>
      <w:pPr>
        <w:pStyle w:val="CaptionedFigure"/>
      </w:pPr>
      <w:r>
        <w:drawing>
          <wp:inline>
            <wp:extent cx="5334000" cy="6639490"/>
            <wp:effectExtent b="0" l="0" r="0" t="0"/>
            <wp:docPr descr="Figure S1. Reconstruction of the analysis cohort from the public source worksheet. Counts reproduce the 11 prespecified checks in Table 1. T5161 composite positions are excluded from individual-tooth modelling. The microbiome and imaging branches are shown as not executed, because they were not run." title="" id="23" name="Picture"/>
            <a:graphic>
              <a:graphicData uri="http://schemas.openxmlformats.org/drawingml/2006/picture">
                <pic:pic>
                  <pic:nvPicPr>
                    <pic:cNvPr descr="manuscript_assets/Figure_cohort_flow.png" id="24" name="Picture"/>
                    <pic:cNvPicPr>
                      <a:picLocks noChangeArrowheads="1" noChangeAspect="1"/>
                    </pic:cNvPicPr>
                  </pic:nvPicPr>
                  <pic:blipFill>
                    <a:blip r:embed="rId22"/>
                    <a:stretch>
                      <a:fillRect/>
                    </a:stretch>
                  </pic:blipFill>
                  <pic:spPr bwMode="auto">
                    <a:xfrm>
                      <a:off x="0" y="0"/>
                      <a:ext cx="5334000" cy="6639490"/>
                    </a:xfrm>
                    <a:prstGeom prst="rect">
                      <a:avLst/>
                    </a:prstGeom>
                    <a:noFill/>
                    <a:ln w="9525">
                      <a:noFill/>
                      <a:headEnd/>
                      <a:tailEnd/>
                    </a:ln>
                  </pic:spPr>
                </pic:pic>
              </a:graphicData>
            </a:graphic>
          </wp:inline>
        </w:drawing>
      </w:r>
    </w:p>
    <w:p>
      <w:pPr>
        <w:pStyle w:val="ImageCaption"/>
      </w:pPr>
      <w:r>
        <w:t xml:space="preserve">Figure S1. Reconstruction of the analysis cohort from the public source worksheet. Counts reproduce the 11 prespecified checks in Table 1.</w:t>
      </w:r>
      <w:r>
        <w:t xml:space="preserve"> </w:t>
      </w:r>
      <w:r>
        <w:rPr>
          <w:rStyle w:val="VerbatimChar"/>
        </w:rPr>
        <w:t xml:space="preserve">T5161</w:t>
      </w:r>
      <w:r>
        <w:t xml:space="preserve"> </w:t>
      </w:r>
      <w:r>
        <w:t xml:space="preserve">composite positions are excluded from individual-tooth modelling. The microbiome and imaging branches are shown as not executed, because they were not run.</w:t>
      </w:r>
    </w:p>
    <w:bookmarkEnd w:id="25"/>
    <w:bookmarkStart w:id="29" w:name="internal-predictive-performance"/>
    <w:p>
      <w:pPr>
        <w:pStyle w:val="Heading3"/>
      </w:pPr>
      <w:r>
        <w:t xml:space="preserve">3.2. Internal predictive performance</w:t>
      </w:r>
    </w:p>
    <w:p>
      <w:pPr>
        <w:pStyle w:val="FirstParagraph"/>
      </w:pPr>
      <w:r>
        <w:t xml:space="preserve">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BodyText"/>
      </w:pPr>
      <w:r>
        <w:rPr>
          <w:b/>
          <w:bCs/>
        </w:rPr>
        <w:t xml:space="preserve">Table 2. Patient-grouped, pooled out-of-fold performance in the real public clinical cohort (996 transitions; 83 events).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Average precision (95% interval)</w:t>
            </w:r>
          </w:p>
        </w:tc>
        <w:tc>
          <w:tcPr/>
          <w:p>
            <w:pPr>
              <w:pStyle w:val="Compact"/>
              <w:jc w:val="left"/>
            </w:pPr>
            <w:r>
              <w:t xml:space="preserve">ROC area (95% interval)</w:t>
            </w:r>
          </w:p>
        </w:tc>
        <w:tc>
          <w:tcPr/>
          <w:p>
            <w:pPr>
              <w:pStyle w:val="Compact"/>
              <w:jc w:val="left"/>
            </w:pPr>
            <w:r>
              <w:t xml:space="preserve">Brier score (95% interval)</w:t>
            </w:r>
          </w:p>
        </w:tc>
        <w:tc>
          <w:tcPr/>
          <w:p>
            <w:pPr>
              <w:pStyle w:val="Compact"/>
              <w:jc w:val="right"/>
            </w:pPr>
            <w:r>
              <w:t xml:space="preserve">Log loss</w:t>
            </w:r>
          </w:p>
        </w:tc>
      </w:tr>
      <w:tr>
        <w:tc>
          <w:tcPr/>
          <w:p>
            <w:pPr>
              <w:pStyle w:val="Compact"/>
              <w:jc w:val="left"/>
            </w:pPr>
            <w:r>
              <w:t xml:space="preserve">Minimal clinical</w:t>
            </w:r>
          </w:p>
        </w:tc>
        <w:tc>
          <w:tcPr/>
          <w:p>
            <w:pPr>
              <w:pStyle w:val="Compact"/>
              <w:jc w:val="left"/>
            </w:pPr>
            <w:r>
              <w:t xml:space="preserve">0.166 (0.120–0.246)</w:t>
            </w:r>
          </w:p>
        </w:tc>
        <w:tc>
          <w:tcPr/>
          <w:p>
            <w:pPr>
              <w:pStyle w:val="Compact"/>
              <w:jc w:val="left"/>
            </w:pPr>
            <w:r>
              <w:t xml:space="preserve">0.686 (0.618–0.754)</w:t>
            </w:r>
          </w:p>
        </w:tc>
        <w:tc>
          <w:tcPr/>
          <w:p>
            <w:pPr>
              <w:pStyle w:val="Compact"/>
              <w:jc w:val="left"/>
            </w:pPr>
            <w:r>
              <w:t xml:space="preserve">0.0806 (0.0624–0.0996)</w:t>
            </w:r>
          </w:p>
        </w:tc>
        <w:tc>
          <w:tcPr/>
          <w:p>
            <w:pPr>
              <w:pStyle w:val="Compact"/>
              <w:jc w:val="right"/>
            </w:pPr>
            <w:r>
              <w:t xml:space="preserve">0.2884</w:t>
            </w:r>
          </w:p>
        </w:tc>
      </w:tr>
      <w:tr>
        <w:tc>
          <w:tcPr/>
          <w:p>
            <w:pPr>
              <w:pStyle w:val="Compact"/>
              <w:jc w:val="left"/>
            </w:pPr>
            <w:r>
              <w:t xml:space="preserve">Clinical plus spatial</w:t>
            </w:r>
          </w:p>
        </w:tc>
        <w:tc>
          <w:tcPr/>
          <w:p>
            <w:pPr>
              <w:pStyle w:val="Compact"/>
              <w:jc w:val="left"/>
            </w:pPr>
            <w:r>
              <w:t xml:space="preserve">0.178 (0.138–0.239)</w:t>
            </w:r>
          </w:p>
        </w:tc>
        <w:tc>
          <w:tcPr/>
          <w:p>
            <w:pPr>
              <w:pStyle w:val="Compact"/>
              <w:jc w:val="left"/>
            </w:pPr>
            <w:r>
              <w:t xml:space="preserve">0.737 (0.660–0.804)</w:t>
            </w:r>
          </w:p>
        </w:tc>
        <w:tc>
          <w:tcPr/>
          <w:p>
            <w:pPr>
              <w:pStyle w:val="Compact"/>
              <w:jc w:val="left"/>
            </w:pPr>
            <w:r>
              <w:t xml:space="preserve">0.0754 (0.0574–0.0949)</w:t>
            </w:r>
          </w:p>
        </w:tc>
        <w:tc>
          <w:tcPr/>
          <w:p>
            <w:pPr>
              <w:pStyle w:val="Compact"/>
              <w:jc w:val="right"/>
            </w:pPr>
            <w:r>
              <w:t xml:space="preserve">0.2690</w:t>
            </w:r>
          </w:p>
        </w:tc>
      </w:tr>
      <w:tr>
        <w:tc>
          <w:tcPr/>
          <w:p>
            <w:pPr>
              <w:pStyle w:val="Compact"/>
              <w:jc w:val="left"/>
            </w:pPr>
            <w:r>
              <w:t xml:space="preserve">Fold-specific training prevalence</w:t>
            </w:r>
          </w:p>
        </w:tc>
        <w:tc>
          <w:tcPr/>
          <w:p>
            <w:pPr>
              <w:pStyle w:val="Compact"/>
              <w:jc w:val="left"/>
            </w:pPr>
            <w:r>
              <w:t xml:space="preserve">—</w:t>
            </w:r>
          </w:p>
        </w:tc>
        <w:tc>
          <w:tcPr/>
          <w:p>
            <w:pPr>
              <w:pStyle w:val="Compact"/>
              <w:jc w:val="left"/>
            </w:pPr>
            <w:r>
              <w:t xml:space="preserve">—</w:t>
            </w:r>
          </w:p>
        </w:tc>
        <w:tc>
          <w:tcPr/>
          <w:p>
            <w:pPr>
              <w:pStyle w:val="Compact"/>
              <w:jc w:val="left"/>
            </w:pPr>
            <w:r>
              <w:t xml:space="preserve">0.0764</w:t>
            </w:r>
          </w:p>
        </w:tc>
        <w:tc>
          <w:tcPr/>
          <w:p>
            <w:pPr>
              <w:pStyle w:val="Compact"/>
              <w:jc w:val="right"/>
            </w:pPr>
            <w:r>
              <w:t xml:space="preserve">0.2869</w:t>
            </w:r>
          </w:p>
        </w:tc>
      </w:tr>
    </w:tbl>
    <w:p>
      <w:pPr>
        <w:pStyle w:val="CaptionedFigure"/>
      </w:pPr>
      <w:r>
        <w:drawing>
          <wp:inline>
            <wp:extent cx="5334000" cy="2102127"/>
            <wp:effectExtent b="0" l="0" r="0" t="0"/>
            <wp:docPr descr="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 title="" id="27" name="Picture"/>
            <a:graphic>
              <a:graphicData uri="http://schemas.openxmlformats.org/drawingml/2006/picture">
                <pic:pic>
                  <pic:nvPicPr>
                    <pic:cNvPr descr="manuscript_assets/Figure_2_discrimination_corrected_sklearn190.png" id="28" name="Picture"/>
                    <pic:cNvPicPr>
                      <a:picLocks noChangeArrowheads="1" noChangeAspect="1"/>
                    </pic:cNvPicPr>
                  </pic:nvPicPr>
                  <pic:blipFill>
                    <a:blip r:embed="rId26"/>
                    <a:stretch>
                      <a:fillRect/>
                    </a:stretch>
                  </pic:blipFill>
                  <pic:spPr bwMode="auto">
                    <a:xfrm>
                      <a:off x="0" y="0"/>
                      <a:ext cx="5334000" cy="2102127"/>
                    </a:xfrm>
                    <a:prstGeom prst="rect">
                      <a:avLst/>
                    </a:prstGeom>
                    <a:noFill/>
                    <a:ln w="9525">
                      <a:noFill/>
                      <a:headEnd/>
                      <a:tailEnd/>
                    </a:ln>
                  </pic:spPr>
                </pic:pic>
              </a:graphicData>
            </a:graphic>
          </wp:inline>
        </w:drawing>
      </w:r>
    </w:p>
    <w:p>
      <w:pPr>
        <w:pStyle w:val="ImageCaption"/>
      </w:pPr>
      <w:r>
        <w:t xml:space="preserve">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w:t>
      </w:r>
    </w:p>
    <w:bookmarkEnd w:id="29"/>
    <w:bookmarkStart w:id="33" w:name="calibration-and-model-comparison"/>
    <w:p>
      <w:pPr>
        <w:pStyle w:val="Heading3"/>
      </w:pPr>
      <w:r>
        <w:t xml:space="preserve">3.3. Calibration and model comparison</w:t>
      </w:r>
    </w:p>
    <w:p>
      <w:pPr>
        <w:pStyle w:val="FirstParagraph"/>
      </w:pPr>
      <w:r>
        <w:t xml:space="preserve">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BodyText"/>
      </w:pPr>
      <w:r>
        <w:t xml:space="preserve">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BodyText"/>
      </w:pPr>
      <w:r>
        <w:rPr>
          <w:b/>
          <w:bCs/>
        </w:rPr>
        <w:t xml:space="preserve">Table 3. Held-out probability assessment before and after recalibration fitted only on outer-training children. The observed event fraction was 0.0833; paired uncertainty for Brier changes is reported in the text.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and probability version</w:t>
            </w:r>
          </w:p>
        </w:tc>
        <w:tc>
          <w:tcPr/>
          <w:p>
            <w:pPr>
              <w:pStyle w:val="Compact"/>
              <w:jc w:val="right"/>
            </w:pPr>
            <w:r>
              <w:t xml:space="preserve">Mean risk</w:t>
            </w:r>
          </w:p>
        </w:tc>
        <w:tc>
          <w:tcPr/>
          <w:p>
            <w:pPr>
              <w:pStyle w:val="Compact"/>
              <w:jc w:val="right"/>
            </w:pPr>
            <w:r>
              <w:t xml:space="preserve">Calibration slope</w:t>
            </w:r>
          </w:p>
        </w:tc>
        <w:tc>
          <w:tcPr/>
          <w:p>
            <w:pPr>
              <w:pStyle w:val="Compact"/>
              <w:jc w:val="right"/>
            </w:pPr>
            <w:r>
              <w:t xml:space="preserve">Brier score</w:t>
            </w:r>
          </w:p>
        </w:tc>
        <w:tc>
          <w:tcPr/>
          <w:p>
            <w:pPr>
              <w:pStyle w:val="Compact"/>
              <w:jc w:val="right"/>
            </w:pPr>
            <w:r>
              <w:t xml:space="preserve">Log loss</w:t>
            </w:r>
          </w:p>
        </w:tc>
      </w:tr>
      <w:tr>
        <w:tc>
          <w:tcPr/>
          <w:p>
            <w:pPr>
              <w:pStyle w:val="Compact"/>
              <w:jc w:val="left"/>
            </w:pPr>
            <w:r>
              <w:t xml:space="preserve">Minimal, uncalibrated</w:t>
            </w:r>
          </w:p>
        </w:tc>
        <w:tc>
          <w:tcPr/>
          <w:p>
            <w:pPr>
              <w:pStyle w:val="Compact"/>
              <w:jc w:val="right"/>
            </w:pPr>
            <w:r>
              <w:t xml:space="preserve">0.1182</w:t>
            </w:r>
          </w:p>
        </w:tc>
        <w:tc>
          <w:tcPr/>
          <w:p>
            <w:pPr>
              <w:pStyle w:val="Compact"/>
              <w:jc w:val="right"/>
            </w:pPr>
            <w:r>
              <w:t xml:space="preserve">0.516</w:t>
            </w:r>
          </w:p>
        </w:tc>
        <w:tc>
          <w:tcPr/>
          <w:p>
            <w:pPr>
              <w:pStyle w:val="Compact"/>
              <w:jc w:val="right"/>
            </w:pPr>
            <w:r>
              <w:t xml:space="preserve">0.0806</w:t>
            </w:r>
          </w:p>
        </w:tc>
        <w:tc>
          <w:tcPr/>
          <w:p>
            <w:pPr>
              <w:pStyle w:val="Compact"/>
              <w:jc w:val="right"/>
            </w:pPr>
            <w:r>
              <w:t xml:space="preserve">0.2884</w:t>
            </w:r>
          </w:p>
        </w:tc>
      </w:tr>
      <w:tr>
        <w:tc>
          <w:tcPr/>
          <w:p>
            <w:pPr>
              <w:pStyle w:val="Compact"/>
              <w:jc w:val="left"/>
            </w:pPr>
            <w:r>
              <w:t xml:space="preserve">Minimal, intercept only</w:t>
            </w:r>
          </w:p>
        </w:tc>
        <w:tc>
          <w:tcPr/>
          <w:p>
            <w:pPr>
              <w:pStyle w:val="Compact"/>
              <w:jc w:val="right"/>
            </w:pPr>
            <w:r>
              <w:t xml:space="preserve">0.0819</w:t>
            </w:r>
          </w:p>
        </w:tc>
        <w:tc>
          <w:tcPr/>
          <w:p>
            <w:pPr>
              <w:pStyle w:val="Compact"/>
              <w:jc w:val="right"/>
            </w:pPr>
            <w:r>
              <w:t xml:space="preserve">0.613</w:t>
            </w:r>
          </w:p>
        </w:tc>
        <w:tc>
          <w:tcPr/>
          <w:p>
            <w:pPr>
              <w:pStyle w:val="Compact"/>
              <w:jc w:val="right"/>
            </w:pPr>
            <w:r>
              <w:t xml:space="preserve">0.0762</w:t>
            </w:r>
          </w:p>
        </w:tc>
        <w:tc>
          <w:tcPr/>
          <w:p>
            <w:pPr>
              <w:pStyle w:val="Compact"/>
              <w:jc w:val="right"/>
            </w:pPr>
            <w:r>
              <w:t xml:space="preserve">0.2730</w:t>
            </w:r>
          </w:p>
        </w:tc>
      </w:tr>
      <w:tr>
        <w:tc>
          <w:tcPr/>
          <w:p>
            <w:pPr>
              <w:pStyle w:val="Compact"/>
              <w:jc w:val="left"/>
            </w:pPr>
            <w:r>
              <w:t xml:space="preserve">Minimal, intercept and slope</w:t>
            </w:r>
          </w:p>
        </w:tc>
        <w:tc>
          <w:tcPr/>
          <w:p>
            <w:pPr>
              <w:pStyle w:val="Compact"/>
              <w:jc w:val="right"/>
            </w:pPr>
            <w:r>
              <w:t xml:space="preserve">0.0802</w:t>
            </w:r>
          </w:p>
        </w:tc>
        <w:tc>
          <w:tcPr/>
          <w:p>
            <w:pPr>
              <w:pStyle w:val="Compact"/>
              <w:jc w:val="right"/>
            </w:pPr>
            <w:r>
              <w:t xml:space="preserve">0.808</w:t>
            </w:r>
          </w:p>
        </w:tc>
        <w:tc>
          <w:tcPr/>
          <w:p>
            <w:pPr>
              <w:pStyle w:val="Compact"/>
              <w:jc w:val="right"/>
            </w:pPr>
            <w:r>
              <w:t xml:space="preserve">0.0745</w:t>
            </w:r>
          </w:p>
        </w:tc>
        <w:tc>
          <w:tcPr/>
          <w:p>
            <w:pPr>
              <w:pStyle w:val="Compact"/>
              <w:jc w:val="right"/>
            </w:pPr>
            <w:r>
              <w:t xml:space="preserve">0.2680</w:t>
            </w:r>
          </w:p>
        </w:tc>
      </w:tr>
      <w:tr>
        <w:tc>
          <w:tcPr/>
          <w:p>
            <w:pPr>
              <w:pStyle w:val="Compact"/>
              <w:jc w:val="left"/>
            </w:pPr>
            <w:r>
              <w:t xml:space="preserve">Spatial, uncalibrated</w:t>
            </w:r>
          </w:p>
        </w:tc>
        <w:tc>
          <w:tcPr/>
          <w:p>
            <w:pPr>
              <w:pStyle w:val="Compact"/>
              <w:jc w:val="right"/>
            </w:pPr>
            <w:r>
              <w:t xml:space="preserve">0.0878</w:t>
            </w:r>
          </w:p>
        </w:tc>
        <w:tc>
          <w:tcPr/>
          <w:p>
            <w:pPr>
              <w:pStyle w:val="Compact"/>
              <w:jc w:val="right"/>
            </w:pPr>
            <w:r>
              <w:t xml:space="preserve">0.605</w:t>
            </w:r>
          </w:p>
        </w:tc>
        <w:tc>
          <w:tcPr/>
          <w:p>
            <w:pPr>
              <w:pStyle w:val="Compact"/>
              <w:jc w:val="right"/>
            </w:pPr>
            <w:r>
              <w:t xml:space="preserve">0.0754</w:t>
            </w:r>
          </w:p>
        </w:tc>
        <w:tc>
          <w:tcPr/>
          <w:p>
            <w:pPr>
              <w:pStyle w:val="Compact"/>
              <w:jc w:val="right"/>
            </w:pPr>
            <w:r>
              <w:t xml:space="preserve">0.2690</w:t>
            </w:r>
          </w:p>
        </w:tc>
      </w:tr>
      <w:tr>
        <w:tc>
          <w:tcPr/>
          <w:p>
            <w:pPr>
              <w:pStyle w:val="Compact"/>
              <w:jc w:val="left"/>
            </w:pPr>
            <w:r>
              <w:t xml:space="preserve">Spatial, intercept only</w:t>
            </w:r>
          </w:p>
        </w:tc>
        <w:tc>
          <w:tcPr/>
          <w:p>
            <w:pPr>
              <w:pStyle w:val="Compact"/>
              <w:jc w:val="right"/>
            </w:pPr>
            <w:r>
              <w:t xml:space="preserve">0.0810</w:t>
            </w:r>
          </w:p>
        </w:tc>
        <w:tc>
          <w:tcPr/>
          <w:p>
            <w:pPr>
              <w:pStyle w:val="Compact"/>
              <w:jc w:val="right"/>
            </w:pPr>
            <w:r>
              <w:t xml:space="preserve">0.603</w:t>
            </w:r>
          </w:p>
        </w:tc>
        <w:tc>
          <w:tcPr/>
          <w:p>
            <w:pPr>
              <w:pStyle w:val="Compact"/>
              <w:jc w:val="right"/>
            </w:pPr>
            <w:r>
              <w:t xml:space="preserve">0.0753</w:t>
            </w:r>
          </w:p>
        </w:tc>
        <w:tc>
          <w:tcPr/>
          <w:p>
            <w:pPr>
              <w:pStyle w:val="Compact"/>
              <w:jc w:val="right"/>
            </w:pPr>
            <w:r>
              <w:t xml:space="preserve">0.2690</w:t>
            </w:r>
          </w:p>
        </w:tc>
      </w:tr>
      <w:tr>
        <w:tc>
          <w:tcPr/>
          <w:p>
            <w:pPr>
              <w:pStyle w:val="Compact"/>
              <w:jc w:val="left"/>
            </w:pPr>
            <w:r>
              <w:t xml:space="preserve">Spatial, intercept and slope</w:t>
            </w:r>
          </w:p>
        </w:tc>
        <w:tc>
          <w:tcPr/>
          <w:p>
            <w:pPr>
              <w:pStyle w:val="Compact"/>
              <w:jc w:val="right"/>
            </w:pPr>
            <w:r>
              <w:t xml:space="preserve">0.0827</w:t>
            </w:r>
          </w:p>
        </w:tc>
        <w:tc>
          <w:tcPr/>
          <w:p>
            <w:pPr>
              <w:pStyle w:val="Compact"/>
              <w:jc w:val="right"/>
            </w:pPr>
            <w:r>
              <w:t xml:space="preserve">0.811</w:t>
            </w:r>
          </w:p>
        </w:tc>
        <w:tc>
          <w:tcPr/>
          <w:p>
            <w:pPr>
              <w:pStyle w:val="Compact"/>
              <w:jc w:val="right"/>
            </w:pPr>
            <w:r>
              <w:t xml:space="preserve">0.0740</w:t>
            </w:r>
          </w:p>
        </w:tc>
        <w:tc>
          <w:tcPr/>
          <w:p>
            <w:pPr>
              <w:pStyle w:val="Compact"/>
              <w:jc w:val="right"/>
            </w:pPr>
            <w:r>
              <w:t xml:space="preserve">0.2638</w:t>
            </w:r>
          </w:p>
        </w:tc>
      </w:tr>
    </w:tbl>
    <w:p>
      <w:pPr>
        <w:pStyle w:val="CaptionedFigure"/>
      </w:pPr>
      <w:r>
        <w:drawing>
          <wp:inline>
            <wp:extent cx="5334000" cy="2102465"/>
            <wp:effectExtent b="0" l="0" r="0" t="0"/>
            <wp:docPr descr="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 title="" id="31" name="Picture"/>
            <a:graphic>
              <a:graphicData uri="http://schemas.openxmlformats.org/drawingml/2006/picture">
                <pic:pic>
                  <pic:nvPicPr>
                    <pic:cNvPr descr="manuscript_assets/Figure_3_calibration_corrected_sklearn190.png" id="32" name="Picture"/>
                    <pic:cNvPicPr>
                      <a:picLocks noChangeArrowheads="1" noChangeAspect="1"/>
                    </pic:cNvPicPr>
                  </pic:nvPicPr>
                  <pic:blipFill>
                    <a:blip r:embed="rId30"/>
                    <a:stretch>
                      <a:fillRect/>
                    </a:stretch>
                  </pic:blipFill>
                  <pic:spPr bwMode="auto">
                    <a:xfrm>
                      <a:off x="0" y="0"/>
                      <a:ext cx="5334000" cy="2102465"/>
                    </a:xfrm>
                    <a:prstGeom prst="rect">
                      <a:avLst/>
                    </a:prstGeom>
                    <a:noFill/>
                    <a:ln w="9525">
                      <a:noFill/>
                      <a:headEnd/>
                      <a:tailEnd/>
                    </a:ln>
                  </pic:spPr>
                </pic:pic>
              </a:graphicData>
            </a:graphic>
          </wp:inline>
        </w:drawing>
      </w:r>
    </w:p>
    <w:p>
      <w:pPr>
        <w:pStyle w:val="ImageCaption"/>
      </w:pPr>
      <w:r>
        <w:t xml:space="preserve">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w:t>
      </w:r>
    </w:p>
    <w:bookmarkEnd w:id="33"/>
    <w:bookmarkStart w:id="37" w:name="Xcf98fd7b4080585748f58459e8f817443d206eb"/>
    <w:p>
      <w:pPr>
        <w:pStyle w:val="Heading3"/>
      </w:pPr>
      <w:r>
        <w:t xml:space="preserve">3.4. Distribution of outcome events across tooth positions</w:t>
      </w:r>
    </w:p>
    <w:p>
      <w:pPr>
        <w:pStyle w:val="FirstParagraph"/>
      </w:pPr>
      <w:r>
        <w:t xml:space="preserve">Outcome events were not distributed evenly across the dentition. All 83 events in the analysis cohort occurred in the eight primary molar positions (</w:t>
      </w:r>
      <w:r>
        <w:rPr>
          <w:rStyle w:val="VerbatimChar"/>
        </w:rPr>
        <w:t xml:space="preserve">T54</w:t>
      </w:r>
      <w:r>
        <w:t xml:space="preserve">,</w:t>
      </w:r>
      <w:r>
        <w:t xml:space="preserve"> </w:t>
      </w:r>
      <w:r>
        <w:rPr>
          <w:rStyle w:val="VerbatimChar"/>
        </w:rPr>
        <w:t xml:space="preserve">T55</w:t>
      </w:r>
      <w:r>
        <w:t xml:space="preserve">,</w:t>
      </w:r>
      <w:r>
        <w:t xml:space="preserve"> </w:t>
      </w:r>
      <w:r>
        <w:rPr>
          <w:rStyle w:val="VerbatimChar"/>
        </w:rPr>
        <w:t xml:space="preserve">T64</w:t>
      </w:r>
      <w:r>
        <w:t xml:space="preserve">,</w:t>
      </w:r>
      <w:r>
        <w:t xml:space="preserve"> </w:t>
      </w:r>
      <w:r>
        <w:rPr>
          <w:rStyle w:val="VerbatimChar"/>
        </w:rPr>
        <w:t xml:space="preserve">T65</w:t>
      </w:r>
      <w:r>
        <w:t xml:space="preserve">,</w:t>
      </w:r>
      <w:r>
        <w:t xml:space="preserve"> </w:t>
      </w:r>
      <w:r>
        <w:rPr>
          <w:rStyle w:val="VerbatimChar"/>
        </w:rPr>
        <w:t xml:space="preserve">T74</w:t>
      </w:r>
      <w:r>
        <w:t xml:space="preserve">,</w:t>
      </w:r>
      <w:r>
        <w:t xml:space="preserve"> </w:t>
      </w:r>
      <w:r>
        <w:rPr>
          <w:rStyle w:val="VerbatimChar"/>
        </w:rPr>
        <w:t xml:space="preserve">T75</w:t>
      </w:r>
      <w:r>
        <w:t xml:space="preserve">,</w:t>
      </w:r>
      <w:r>
        <w:t xml:space="preserve"> </w:t>
      </w:r>
      <w:r>
        <w:rPr>
          <w:rStyle w:val="VerbatimChar"/>
        </w:rPr>
        <w:t xml:space="preserve">T84</w:t>
      </w:r>
      <w:r>
        <w:t xml:space="preserve">,</w:t>
      </w:r>
      <w:r>
        <w:t xml:space="preserve"> </w:t>
      </w:r>
      <w:r>
        <w:rPr>
          <w:rStyle w:val="VerbatimChar"/>
        </w:rPr>
        <w:t xml:space="preserve">T85</w:t>
      </w:r>
      <w:r>
        <w:t xml:space="preserve">); the 181 anterior-tooth transitions contributed no events (Table 4, Figure 4). Position-specific event fractions ranged from 0.028 to 0.165, with the highest values in second primary molars and first molars. Because anterior teeth have an event fraction of exactly zero in this cohort,</w:t>
      </w:r>
      <w:r>
        <w:t xml:space="preserve"> </w:t>
      </w:r>
      <w:r>
        <w:rPr>
          <w:rStyle w:val="VerbatimChar"/>
        </w:rPr>
        <w:t xml:space="preserve">tooth_position</w:t>
      </w:r>
      <w:r>
        <w:t xml:space="preserve"> </w:t>
      </w:r>
      <w:r>
        <w:t xml:space="preserve">separates a structurally risk-free subpopulation from the remainder rather than merely adjusting for nuisance variation. This is a property of the source data, not a modelling artefact, and it has three consequences for interpretation.</w:t>
      </w:r>
    </w:p>
    <w:p>
      <w:pPr>
        <w:pStyle w:val="BodyText"/>
      </w:pPr>
      <w:r>
        <w:t xml:space="preserve">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CaptionedFigure"/>
      </w:pPr>
      <w:r>
        <w:drawing>
          <wp:inline>
            <wp:extent cx="5334000" cy="3861495"/>
            <wp:effectExtent b="0" l="0" r="0" t="0"/>
            <wp:docPr descr="Figure 4. Training distribution and observed H→C propagation by tooth position in the 996-transition analysis cohort. Panel (a) places each position at its anatomically correct arcade location; circle area is proportional to the number of training transitions for that position and fill colour encodes the observed event fraction. A red outline marks positions with at least one H→C event. Panel (b) shows the same positions in the source coordinate system. Both panels display the position label T and the quadrant, not radiographic anatomy: the study contains no imaging data, and no tooth segmentation was performed." title="" id="35" name="Picture"/>
            <a:graphic>
              <a:graphicData uri="http://schemas.openxmlformats.org/drawingml/2006/picture">
                <pic:pic>
                  <pic:nvPicPr>
                    <pic:cNvPr descr="manuscript_assets/Figure_teeth_training_propagation.png" id="36" name="Picture"/>
                    <pic:cNvPicPr>
                      <a:picLocks noChangeArrowheads="1" noChangeAspect="1"/>
                    </pic:cNvPicPr>
                  </pic:nvPicPr>
                  <pic:blipFill>
                    <a:blip r:embed="rId34"/>
                    <a:stretch>
                      <a:fillRect/>
                    </a:stretch>
                  </pic:blipFill>
                  <pic:spPr bwMode="auto">
                    <a:xfrm>
                      <a:off x="0" y="0"/>
                      <a:ext cx="5334000" cy="3861495"/>
                    </a:xfrm>
                    <a:prstGeom prst="rect">
                      <a:avLst/>
                    </a:prstGeom>
                    <a:noFill/>
                    <a:ln w="9525">
                      <a:noFill/>
                      <a:headEnd/>
                      <a:tailEnd/>
                    </a:ln>
                  </pic:spPr>
                </pic:pic>
              </a:graphicData>
            </a:graphic>
          </wp:inline>
        </w:drawing>
      </w:r>
    </w:p>
    <w:p>
      <w:pPr>
        <w:pStyle w:val="ImageCaption"/>
      </w:pPr>
      <w:r>
        <w:t xml:space="preserve">Figure 4. Training distribution and observed</w:t>
      </w:r>
      <w:r>
        <w:t xml:space="preserve"> </w:t>
      </w:r>
      <w:r>
        <w:rPr>
          <w:rStyle w:val="VerbatimChar"/>
        </w:rPr>
        <w:t xml:space="preserve">H</w:t>
      </w:r>
      <w:r>
        <w:t xml:space="preserve">→</w:t>
      </w:r>
      <w:r>
        <w:rPr>
          <w:rStyle w:val="VerbatimChar"/>
        </w:rPr>
        <w:t xml:space="preserve">C</w:t>
      </w:r>
      <w:r>
        <w:t xml:space="preserve"> </w:t>
      </w:r>
      <w:r>
        <w:t xml:space="preserve">propagation by tooth position in the 996-transition analysis cohort. Panel (a) places each position at its anatomically correct arcade location; circle area is proportional to the number of training transitions for that position and fill colour encodes the observed event fraction. A red outline marks positions with at least one</w:t>
      </w:r>
      <w:r>
        <w:t xml:space="preserve"> </w:t>
      </w:r>
      <w:r>
        <w:rPr>
          <w:rStyle w:val="VerbatimChar"/>
        </w:rPr>
        <w:t xml:space="preserve">H</w:t>
      </w:r>
      <w:r>
        <w:t xml:space="preserve">→</w:t>
      </w:r>
      <w:r>
        <w:rPr>
          <w:rStyle w:val="VerbatimChar"/>
        </w:rPr>
        <w:t xml:space="preserve">C</w:t>
      </w:r>
      <w:r>
        <w:t xml:space="preserve"> </w:t>
      </w:r>
      <w:r>
        <w:t xml:space="preserve">event. Panel (b) shows the same positions in the source coordinate system. Both panels display the position label</w:t>
      </w:r>
      <w:r>
        <w:t xml:space="preserve"> </w:t>
      </w:r>
      <w:r>
        <w:rPr>
          <w:rStyle w:val="VerbatimChar"/>
        </w:rPr>
        <w:t xml:space="preserve">T</w:t>
      </w:r>
      <w:r>
        <w:t xml:space="preserve"> </w:t>
      </w:r>
      <w:r>
        <w:t xml:space="preserve">and the quadrant, not radiographic anatomy: the study contains no imaging data, and no tooth segmentation was performed.</w:t>
      </w:r>
    </w:p>
    <w:p>
      <w:pPr>
        <w:pStyle w:val="BodyText"/>
      </w:pPr>
      <w:r>
        <w:rPr>
          <w:b/>
          <w:bCs/>
        </w:rPr>
        <w:t xml:space="preserve">Table 4. Transition counts and observed event fractions by tooth position in the primary analysis cohort (996 transitions; 83 events).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Tooth</w:t>
            </w:r>
          </w:p>
        </w:tc>
        <w:tc>
          <w:tcPr/>
          <w:p>
            <w:pPr>
              <w:pStyle w:val="Compact"/>
              <w:jc w:val="right"/>
            </w:pPr>
            <w:r>
              <w:rPr>
                <w:rStyle w:val="VerbatimChar"/>
              </w:rPr>
              <w:t xml:space="preserve">T51</w:t>
            </w:r>
          </w:p>
        </w:tc>
        <w:tc>
          <w:tcPr/>
          <w:p>
            <w:pPr>
              <w:pStyle w:val="Compact"/>
              <w:jc w:val="right"/>
            </w:pPr>
            <w:r>
              <w:rPr>
                <w:rStyle w:val="VerbatimChar"/>
              </w:rPr>
              <w:t xml:space="preserve">T52</w:t>
            </w:r>
          </w:p>
        </w:tc>
        <w:tc>
          <w:tcPr/>
          <w:p>
            <w:pPr>
              <w:pStyle w:val="Compact"/>
              <w:jc w:val="right"/>
            </w:pPr>
            <w:r>
              <w:rPr>
                <w:rStyle w:val="VerbatimChar"/>
              </w:rPr>
              <w:t xml:space="preserve">T53</w:t>
            </w:r>
          </w:p>
        </w:tc>
        <w:tc>
          <w:tcPr/>
          <w:p>
            <w:pPr>
              <w:pStyle w:val="Compact"/>
              <w:jc w:val="right"/>
            </w:pPr>
            <w:r>
              <w:rPr>
                <w:rStyle w:val="VerbatimChar"/>
              </w:rPr>
              <w:t xml:space="preserve">T54</w:t>
            </w:r>
          </w:p>
        </w:tc>
        <w:tc>
          <w:tcPr/>
          <w:p>
            <w:pPr>
              <w:pStyle w:val="Compact"/>
              <w:jc w:val="right"/>
            </w:pPr>
            <w:r>
              <w:rPr>
                <w:rStyle w:val="VerbatimChar"/>
              </w:rPr>
              <w:t xml:space="preserve">T55</w:t>
            </w:r>
          </w:p>
        </w:tc>
        <w:tc>
          <w:tcPr/>
          <w:p>
            <w:pPr>
              <w:pStyle w:val="Compact"/>
              <w:jc w:val="right"/>
            </w:pPr>
            <w:r>
              <w:rPr>
                <w:rStyle w:val="VerbatimChar"/>
              </w:rPr>
              <w:t xml:space="preserve">T61</w:t>
            </w:r>
          </w:p>
        </w:tc>
        <w:tc>
          <w:tcPr/>
          <w:p>
            <w:pPr>
              <w:pStyle w:val="Compact"/>
              <w:jc w:val="right"/>
            </w:pPr>
            <w:r>
              <w:rPr>
                <w:rStyle w:val="VerbatimChar"/>
              </w:rPr>
              <w:t xml:space="preserve">T62</w:t>
            </w:r>
          </w:p>
        </w:tc>
        <w:tc>
          <w:tcPr/>
          <w:p>
            <w:pPr>
              <w:pStyle w:val="Compact"/>
              <w:jc w:val="right"/>
            </w:pPr>
            <w:r>
              <w:rPr>
                <w:rStyle w:val="VerbatimChar"/>
              </w:rPr>
              <w:t xml:space="preserve">T63</w:t>
            </w:r>
          </w:p>
        </w:tc>
        <w:tc>
          <w:tcPr/>
          <w:p>
            <w:pPr>
              <w:pStyle w:val="Compact"/>
              <w:jc w:val="right"/>
            </w:pPr>
            <w:r>
              <w:rPr>
                <w:rStyle w:val="VerbatimChar"/>
              </w:rPr>
              <w:t xml:space="preserve">T64</w:t>
            </w:r>
          </w:p>
        </w:tc>
        <w:tc>
          <w:tcPr/>
          <w:p>
            <w:pPr>
              <w:pStyle w:val="Compact"/>
              <w:jc w:val="right"/>
            </w:pPr>
            <w:r>
              <w:rPr>
                <w:rStyle w:val="VerbatimChar"/>
              </w:rPr>
              <w:t xml:space="preserve">T65</w:t>
            </w:r>
          </w:p>
        </w:tc>
        <w:tc>
          <w:tcPr/>
          <w:p>
            <w:pPr>
              <w:pStyle w:val="Compact"/>
            </w:pPr>
          </w:p>
        </w:tc>
      </w:tr>
      <w:tr>
        <w:tc>
          <w:tcPr/>
          <w:p>
            <w:pPr>
              <w:pStyle w:val="Compact"/>
              <w:jc w:val="left"/>
            </w:pPr>
            <w:r>
              <w:t xml:space="preserve">Transitions</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98</w:t>
            </w:r>
          </w:p>
        </w:tc>
        <w:tc>
          <w:tcPr/>
          <w:p>
            <w:pPr>
              <w:pStyle w:val="Compact"/>
              <w:jc w:val="right"/>
            </w:pPr>
            <w:r>
              <w:t xml:space="preserve">122</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106</w:t>
            </w:r>
          </w:p>
        </w:tc>
        <w:tc>
          <w:tcPr/>
          <w:p>
            <w:pPr>
              <w:pStyle w:val="Compact"/>
              <w:jc w:val="right"/>
            </w:pPr>
            <w:r>
              <w:t xml:space="preserve">119</w:t>
            </w:r>
          </w:p>
        </w:tc>
        <w:tc>
          <w:tcPr/>
          <w:p>
            <w:pPr>
              <w:pStyle w:val="Compact"/>
            </w:pPr>
          </w:p>
        </w:tc>
      </w:tr>
      <w:tr>
        <w:tc>
          <w:tcPr/>
          <w:p>
            <w:pPr>
              <w:pStyle w:val="Compact"/>
              <w:jc w:val="left"/>
            </w:pPr>
            <w:r>
              <w:t xml:space="preserve">Events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15</w:t>
            </w:r>
          </w:p>
        </w:tc>
        <w:tc>
          <w:tcPr/>
          <w:p>
            <w:pPr>
              <w:pStyle w:val="Compact"/>
            </w:pPr>
          </w:p>
        </w:tc>
      </w:tr>
      <w:tr>
        <w:tc>
          <w:tcPr/>
          <w:p>
            <w:pPr>
              <w:pStyle w:val="Compact"/>
              <w:jc w:val="left"/>
            </w:pPr>
            <w:r>
              <w:t xml:space="preserve">Event fraction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0.031</w:t>
            </w:r>
          </w:p>
        </w:tc>
        <w:tc>
          <w:tcPr/>
          <w:p>
            <w:pPr>
              <w:pStyle w:val="Compact"/>
              <w:jc w:val="right"/>
            </w:pPr>
            <w:r>
              <w:t xml:space="preserve">0.115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0.028</w:t>
            </w:r>
          </w:p>
        </w:tc>
        <w:tc>
          <w:tcPr/>
          <w:p>
            <w:pPr>
              <w:pStyle w:val="Compact"/>
              <w:jc w:val="right"/>
            </w:pPr>
            <w:r>
              <w:t xml:space="preserve">0.126</w:t>
            </w:r>
          </w:p>
        </w:tc>
        <w:tc>
          <w:tcPr/>
          <w:p>
            <w:pPr>
              <w:pStyle w:val="Compact"/>
            </w:pPr>
          </w:p>
        </w:tc>
      </w:tr>
    </w:tbl>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Tooth</w:t>
            </w:r>
          </w:p>
        </w:tc>
        <w:tc>
          <w:tcPr/>
          <w:p>
            <w:pPr>
              <w:pStyle w:val="Compact"/>
              <w:jc w:val="right"/>
            </w:pPr>
            <w:r>
              <w:rPr>
                <w:rStyle w:val="VerbatimChar"/>
              </w:rPr>
              <w:t xml:space="preserve">T71</w:t>
            </w:r>
          </w:p>
        </w:tc>
        <w:tc>
          <w:tcPr/>
          <w:p>
            <w:pPr>
              <w:pStyle w:val="Compact"/>
              <w:jc w:val="right"/>
            </w:pPr>
            <w:r>
              <w:rPr>
                <w:rStyle w:val="VerbatimChar"/>
              </w:rPr>
              <w:t xml:space="preserve">T72</w:t>
            </w:r>
          </w:p>
        </w:tc>
        <w:tc>
          <w:tcPr/>
          <w:p>
            <w:pPr>
              <w:pStyle w:val="Compact"/>
              <w:jc w:val="right"/>
            </w:pPr>
            <w:r>
              <w:rPr>
                <w:rStyle w:val="VerbatimChar"/>
              </w:rPr>
              <w:t xml:space="preserve">T73</w:t>
            </w:r>
          </w:p>
        </w:tc>
        <w:tc>
          <w:tcPr/>
          <w:p>
            <w:pPr>
              <w:pStyle w:val="Compact"/>
              <w:jc w:val="right"/>
            </w:pPr>
            <w:r>
              <w:rPr>
                <w:rStyle w:val="VerbatimChar"/>
              </w:rPr>
              <w:t xml:space="preserve">T74</w:t>
            </w:r>
          </w:p>
        </w:tc>
        <w:tc>
          <w:tcPr/>
          <w:p>
            <w:pPr>
              <w:pStyle w:val="Compact"/>
              <w:jc w:val="right"/>
            </w:pPr>
            <w:r>
              <w:rPr>
                <w:rStyle w:val="VerbatimChar"/>
              </w:rPr>
              <w:t xml:space="preserve">T75</w:t>
            </w:r>
          </w:p>
        </w:tc>
        <w:tc>
          <w:tcPr/>
          <w:p>
            <w:pPr>
              <w:pStyle w:val="Compact"/>
              <w:jc w:val="right"/>
            </w:pPr>
            <w:r>
              <w:rPr>
                <w:rStyle w:val="VerbatimChar"/>
              </w:rPr>
              <w:t xml:space="preserve">T81</w:t>
            </w:r>
          </w:p>
        </w:tc>
        <w:tc>
          <w:tcPr/>
          <w:p>
            <w:pPr>
              <w:pStyle w:val="Compact"/>
              <w:jc w:val="right"/>
            </w:pPr>
            <w:r>
              <w:rPr>
                <w:rStyle w:val="VerbatimChar"/>
              </w:rPr>
              <w:t xml:space="preserve">T82</w:t>
            </w:r>
          </w:p>
        </w:tc>
        <w:tc>
          <w:tcPr/>
          <w:p>
            <w:pPr>
              <w:pStyle w:val="Compact"/>
              <w:jc w:val="right"/>
            </w:pPr>
            <w:r>
              <w:rPr>
                <w:rStyle w:val="VerbatimChar"/>
              </w:rPr>
              <w:t xml:space="preserve">T83</w:t>
            </w:r>
          </w:p>
        </w:tc>
        <w:tc>
          <w:tcPr/>
          <w:p>
            <w:pPr>
              <w:pStyle w:val="Compact"/>
              <w:jc w:val="right"/>
            </w:pPr>
            <w:r>
              <w:rPr>
                <w:rStyle w:val="VerbatimChar"/>
              </w:rPr>
              <w:t xml:space="preserve">T84</w:t>
            </w:r>
          </w:p>
        </w:tc>
        <w:tc>
          <w:tcPr/>
          <w:p>
            <w:pPr>
              <w:pStyle w:val="Compact"/>
              <w:jc w:val="right"/>
            </w:pPr>
            <w:r>
              <w:rPr>
                <w:rStyle w:val="VerbatimChar"/>
              </w:rPr>
              <w:t xml:space="preserve">T85</w:t>
            </w:r>
          </w:p>
        </w:tc>
        <w:tc>
          <w:tcPr/>
          <w:p>
            <w:pPr>
              <w:pStyle w:val="Compact"/>
            </w:pPr>
          </w:p>
        </w:tc>
      </w:tr>
      <w:tr>
        <w:tc>
          <w:tcPr/>
          <w:p>
            <w:pPr>
              <w:pStyle w:val="Compact"/>
              <w:jc w:val="left"/>
            </w:pPr>
            <w:r>
              <w:t xml:space="preserve">Transitions</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94</w:t>
            </w:r>
          </w:p>
        </w:tc>
        <w:tc>
          <w:tcPr/>
          <w:p>
            <w:pPr>
              <w:pStyle w:val="Compact"/>
              <w:jc w:val="right"/>
            </w:pPr>
            <w:r>
              <w:t xml:space="preserve">91</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88</w:t>
            </w:r>
          </w:p>
        </w:tc>
        <w:tc>
          <w:tcPr/>
          <w:p>
            <w:pPr>
              <w:pStyle w:val="Compact"/>
              <w:jc w:val="right"/>
            </w:pPr>
            <w:r>
              <w:t xml:space="preserve">97</w:t>
            </w:r>
          </w:p>
        </w:tc>
        <w:tc>
          <w:tcPr/>
          <w:p>
            <w:pPr>
              <w:pStyle w:val="Compact"/>
            </w:pPr>
          </w:p>
        </w:tc>
      </w:tr>
      <w:tr>
        <w:tc>
          <w:tcPr/>
          <w:p>
            <w:pPr>
              <w:pStyle w:val="Compact"/>
              <w:jc w:val="left"/>
            </w:pPr>
            <w:r>
              <w:t xml:space="preserve">Events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15</w:t>
            </w:r>
          </w:p>
        </w:tc>
        <w:tc>
          <w:tcPr/>
          <w:p>
            <w:pPr>
              <w:pStyle w:val="Compact"/>
            </w:pPr>
          </w:p>
        </w:tc>
      </w:tr>
      <w:tr>
        <w:tc>
          <w:tcPr/>
          <w:p>
            <w:pPr>
              <w:pStyle w:val="Compact"/>
              <w:jc w:val="left"/>
            </w:pPr>
            <w:r>
              <w:t xml:space="preserve">Event fraction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0.106</w:t>
            </w:r>
          </w:p>
        </w:tc>
        <w:tc>
          <w:tcPr/>
          <w:p>
            <w:pPr>
              <w:pStyle w:val="Compact"/>
              <w:jc w:val="right"/>
            </w:pPr>
            <w:r>
              <w:t xml:space="preserve">0.165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0.091</w:t>
            </w:r>
          </w:p>
        </w:tc>
        <w:tc>
          <w:tcPr/>
          <w:p>
            <w:pPr>
              <w:pStyle w:val="Compact"/>
              <w:jc w:val="right"/>
            </w:pPr>
            <w:r>
              <w:t xml:space="preserve">0.155</w:t>
            </w:r>
          </w:p>
        </w:tc>
        <w:tc>
          <w:tcPr/>
          <w:p>
            <w:pPr>
              <w:pStyle w:val="Compact"/>
            </w:pPr>
          </w:p>
        </w:tc>
      </w:tr>
    </w:tbl>
    <w:bookmarkEnd w:id="37"/>
    <w:bookmarkStart w:id="38" w:name="Xc3bd8c1a4e1fe80ccbe898166999b6178211fda"/>
    <w:p>
      <w:pPr>
        <w:pStyle w:val="Heading3"/>
      </w:pPr>
      <w:r>
        <w:t xml:space="preserve">3.5. Technical status of the other OdontoCA branches</w:t>
      </w:r>
    </w:p>
    <w:p>
      <w:pPr>
        <w:pStyle w:val="FirstParagraph"/>
      </w:pPr>
      <w:r>
        <w:t xml:space="preserve">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bookmarkEnd w:id="38"/>
    <w:bookmarkEnd w:id="39"/>
    <w:bookmarkStart w:id="45" w:name="discussion"/>
    <w:p>
      <w:pPr>
        <w:pStyle w:val="Heading2"/>
      </w:pPr>
      <w:r>
        <w:t xml:space="preserve">4. Discussion</w:t>
      </w:r>
    </w:p>
    <w:bookmarkStart w:id="40" w:name="X05a19efd06f14761a27cecfcbacc89c9068f490"/>
    <w:p>
      <w:pPr>
        <w:pStyle w:val="Heading3"/>
      </w:pPr>
      <w:r>
        <w:t xml:space="preserve">4.1. Principal findings and clinical research potential</w:t>
      </w:r>
    </w:p>
    <w:p>
      <w:pPr>
        <w:pStyle w:val="FirstParagraph"/>
      </w:pPr>
      <w:r>
        <w:t xml:space="preserve">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bookmarkEnd w:id="40"/>
    <w:bookmarkStart w:id="41" w:name="X4edc6833c6f94a2a01e82933c8a614b7b32c1cb"/>
    <w:p>
      <w:pPr>
        <w:pStyle w:val="Heading3"/>
      </w:pPr>
      <w:r>
        <w:t xml:space="preserve">4.2. Interpretation of performance and calibration</w:t>
      </w:r>
    </w:p>
    <w:p>
      <w:pPr>
        <w:pStyle w:val="FirstParagraph"/>
      </w:pPr>
      <w:r>
        <w:t xml:space="preserve">The event fraction was 8.33%, so average precision had a low prevalence reference.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[23]. Decision-curve analysis could eventually quantify net benefit at prespecified clinical thresholds [24], but doing it now would invite an unsupported treatment recommendation.</w:t>
      </w:r>
    </w:p>
    <w:bookmarkEnd w:id="41"/>
    <w:bookmarkStart w:id="42" w:name="Xfc43c6bc5ca7754f35ac468a570ad9a3979fe52"/>
    <w:p>
      <w:pPr>
        <w:pStyle w:val="Heading3"/>
      </w:pPr>
      <w:r>
        <w:t xml:space="preserve">4.3. Relation to microbiome and spatial literature</w:t>
      </w:r>
    </w:p>
    <w:p>
      <w:pPr>
        <w:pStyle w:val="FirstParagraph"/>
      </w:pPr>
      <w:r>
        <w:t xml:space="preserve">The clinical-only design avoids attributing another group’s microbiome results to OdontoCA. Recent microbiome risk modelling in a small nested case-control study [25] adds context, not a direct comparator, because case mix, follow-up, and validation differ. The source paper’s tooth-resolved microbiome findings [1] and the observed structure of oral plaque communities [26]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bookmarkEnd w:id="42"/>
    <w:bookmarkStart w:id="43" w:name="reporting-and-next-validation-phase"/>
    <w:p>
      <w:pPr>
        <w:pStyle w:val="Heading3"/>
      </w:pPr>
      <w:r>
        <w:t xml:space="preserve">4.4. Reporting and next validation phase</w:t>
      </w:r>
    </w:p>
    <w:p>
      <w:pPr>
        <w:pStyle w:val="FirstParagraph"/>
      </w:pPr>
      <w:r>
        <w:t xml:space="preserve">The original TRIPOD statement [27], the updated TRIPOD+AI guidance [10], and practical model-development guidance [28]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bookmarkEnd w:id="43"/>
    <w:bookmarkStart w:id="44" w:name="limitations"/>
    <w:p>
      <w:pPr>
        <w:pStyle w:val="Heading3"/>
      </w:pPr>
      <w:r>
        <w:t xml:space="preserve">4.5. Limitations</w:t>
      </w:r>
    </w:p>
    <w:p>
      <w:pPr>
        <w:pStyle w:val="FirstParagraph"/>
      </w:pPr>
      <w:r>
        <w:t xml:space="preserve">The analysis uses one public cohort and a modest number of children and events, with multiple teeth per child. The most consequential quantitative limitation is now explicit: 83 outcome events for 24 effective degrees of freedom, or 3.5 events per parameter against the 10 recommended, which is why the model cannot be validated internally with confidence and why 240 events are required externally.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must be pinned. The original work’s reported diagnostic or predictive accuracy [1] is not an OdontoCA result.</w:t>
      </w:r>
    </w:p>
    <w:bookmarkEnd w:id="44"/>
    <w:bookmarkEnd w:id="45"/>
    <w:bookmarkStart w:id="46" w:name="conclusion"/>
    <w:p>
      <w:pPr>
        <w:pStyle w:val="Heading2"/>
      </w:pPr>
      <w:r>
        <w:t xml:space="preserve">5. Conclusion</w:t>
      </w:r>
    </w:p>
    <w:p>
      <w:pPr>
        <w:pStyle w:val="FirstParagraph"/>
      </w:pPr>
      <w:r>
        <w:t xml:space="preserve">OdontoCA reproduced the public tooth-level cohort counts and achieved exploratory child-grouped internal prediction on real clinical records. The uncalibrated clinical-spatial model had ROC area 0.737 and average precision 0.178, but its advantage over a minimal clinical model was uncertain. Training-only intercept-and-slope recalibration improved the minimal model’s Brier score within this cohort; calibration remained imperfect and the spatial model’s Brier change was uncertain. A primary model has now been locked as a versioned, hash-pinned artifact with a pre-specified external validation protocol, which converts the present work from a descriptive reconstruction into a testable prediction claim. That claim is not yet supported: no external validation has been performed, the development cohort supplied 3.5 events per parameter against the 10 recommended, sampling provenance for the source cohort is undocumented, and source-derived spatial predictors remain unverified. The locked model is therefore a research instrument awaiting external evidence, and it must not be used for patient-level decision support.</w:t>
      </w:r>
    </w:p>
    <w:bookmarkEnd w:id="46"/>
    <w:bookmarkStart w:id="47" w:name="declarations"/>
    <w:p>
      <w:pPr>
        <w:pStyle w:val="Heading2"/>
      </w:pPr>
      <w:r>
        <w:t xml:space="preserve">Declarations</w:t>
      </w:r>
    </w:p>
    <w:p>
      <w:pPr>
        <w:pStyle w:val="FirstParagraph"/>
      </w:pPr>
      <w:r>
        <w:rPr>
          <w:b/>
          <w:bCs/>
        </w:rPr>
        <w:t xml:space="preserve">Ethics approval:</w:t>
      </w:r>
      <w:r>
        <w:t xml:space="preserve"> </w:t>
      </w:r>
      <w:r>
        <w:t xml:space="preserve">No new participants were recruited. We analysed the source study’s publicly released supplementary table. The authors must confirm the applicable ethics or waiver determination for this secondary analysis before submission.</w:t>
      </w:r>
    </w:p>
    <w:p>
      <w:pPr>
        <w:pStyle w:val="BodyText"/>
      </w:pPr>
      <w:r>
        <w:rPr>
          <w:b/>
          <w:bCs/>
        </w:rPr>
        <w:t xml:space="preserve">Data and code availability:</w:t>
      </w:r>
      <w:r>
        <w:t xml:space="preserve"> </w:t>
      </w:r>
      <w:r>
        <w:t xml:space="preserve">The source spreadsheet is in the</w:t>
      </w:r>
      <w:r>
        <w:t xml:space="preserve"> </w:t>
      </w:r>
      <w:hyperlink r:id="rId11">
        <w:r>
          <w:rPr>
            <w:rStyle w:val="Hyperlink"/>
          </w:rPr>
          <w:t xml:space="preserve">original investigators’ repository</w:t>
        </w:r>
      </w:hyperlink>
      <w:r>
        <w:t xml:space="preserve"> </w:t>
      </w:r>
      <w:r>
        <w:t xml:space="preserve">at commit</w:t>
      </w:r>
      <w:r>
        <w:t xml:space="preserve"> </w:t>
      </w:r>
      <w:r>
        <w:rPr>
          <w:rStyle w:val="VerbatimChar"/>
        </w:rPr>
        <w:t xml:space="preserve">e5868fe5</w:t>
      </w:r>
      <w:r>
        <w:t xml:space="preserve">, SHA-256</w:t>
      </w:r>
      <w:r>
        <w:t xml:space="preserve"> </w:t>
      </w:r>
      <w:r>
        <w:rPr>
          <w:rStyle w:val="VerbatimChar"/>
        </w:rPr>
        <w:t xml:space="preserve">b7819fee…84fa</w:t>
      </w:r>
      <w:r>
        <w:t xml:space="preserve">; the clinical reconstruction and analysis scripts, aggregate JSON results, figures, and the source-file digest accompany this manuscript. Raw source records are not redistributed, because they are third-party material whose reuse terms belong to the original investigators. A permanent archive identifier and the source repository’s reuse terms should be confirmed before submission.</w:t>
      </w:r>
    </w:p>
    <w:p>
      <w:pPr>
        <w:pStyle w:val="BodyText"/>
      </w:pPr>
      <w:r>
        <w:rPr>
          <w:b/>
          <w:bCs/>
        </w:rPr>
        <w:t xml:space="preserve">Funding:</w:t>
      </w:r>
      <w:r>
        <w:t xml:space="preserve"> </w:t>
      </w:r>
      <w:r>
        <w:t xml:space="preserve">To be completed and verified by the authors.</w:t>
      </w:r>
    </w:p>
    <w:p>
      <w:pPr>
        <w:pStyle w:val="BodyText"/>
      </w:pPr>
      <w:r>
        <w:rPr>
          <w:b/>
          <w:bCs/>
        </w:rPr>
        <w:t xml:space="preserve">Declaration of competing interest:</w:t>
      </w:r>
      <w:r>
        <w:t xml:space="preserve"> </w:t>
      </w:r>
      <w:r>
        <w:t xml:space="preserve">To be completed and verified by each author.</w:t>
      </w:r>
    </w:p>
    <w:p>
      <w:pPr>
        <w:pStyle w:val="BodyText"/>
      </w:pPr>
      <w:r>
        <w:rPr>
          <w:b/>
          <w:bCs/>
        </w:rPr>
        <w:t xml:space="preserve">CRediT authorship contribution statement:</w:t>
      </w:r>
      <w:r>
        <w:t xml:space="preserve"> </w:t>
      </w:r>
      <w:r>
        <w:t xml:space="preserve">To be completed from the confirmed author list and actual contributions.</w:t>
      </w:r>
    </w:p>
    <w:p>
      <w:pPr>
        <w:pStyle w:val="BodyText"/>
      </w:pPr>
      <w:r>
        <w:rPr>
          <w:b/>
          <w:bCs/>
        </w:rPr>
        <w:t xml:space="preserve">Declaration of generative AI use:</w:t>
      </w:r>
      <w:r>
        <w:t xml:space="preserve"> </w:t>
      </w:r>
      <w:r>
        <w:t xml:space="preserve">OpenAI Codex assisted with code review, execution of the secondary analysis, manuscript drafting, reference checking, and diagram preparation. The named authors must inspect the data provenance, code, numerical results, citations, and final text and retain responsibility for the submitted work.</w:t>
      </w:r>
    </w:p>
    <w:p>
      <w:pPr>
        <w:pStyle w:val="BodyText"/>
      </w:pPr>
      <w:r>
        <w:rPr>
          <w:b/>
          <w:bCs/>
        </w:rPr>
        <w:t xml:space="preserve">Supplementary material:</w:t>
      </w:r>
      <w:r>
        <w:t xml:space="preserve"> </w:t>
      </w:r>
      <w:r>
        <w:t xml:space="preserve">Supplementary File S1 contains the detailed evidence-aware architecture. Supplementary File S2 documents the synthetic notebook audit, rerun discrepancy, and validation limits. Supplementary File S3 maps reporting to TRIPOD+AI; Supplementary File S4 provides the formal PROBAST+AI internal appraisal. Reproducibility materials include analysis scripts and aggregate outputs. The real clinical OOF analysis is separate from the source investigators’ published models.</w:t>
      </w:r>
    </w:p>
    <w:bookmarkEnd w:id="47"/>
    <w:bookmarkStart w:id="76" w:name="references"/>
    <w:p>
      <w:pPr>
        <w:pStyle w:val="Heading2"/>
      </w:pPr>
      <w:r>
        <w:t xml:space="preserve">References</w:t>
      </w:r>
    </w:p>
    <w:p>
      <w:pPr>
        <w:pStyle w:val="Compact"/>
        <w:numPr>
          <w:ilvl w:val="0"/>
          <w:numId w:val="1001"/>
        </w:numPr>
      </w:pPr>
      <w:r>
        <w:t xml:space="preserve">Yang F, Teng F, Zhang Y, et al. Single-tooth resolved, whole-mouth prediction of early childhood caries via spatiotemporal variations of plaque microbiota.</w:t>
      </w:r>
      <w:r>
        <w:t xml:space="preserve"> </w:t>
      </w:r>
      <w:r>
        <w:rPr>
          <w:i/>
          <w:iCs/>
        </w:rPr>
        <w:t xml:space="preserve">Cell Host &amp; Microbe</w:t>
      </w:r>
      <w:r>
        <w:t xml:space="preserve">. 2025;33(6):1019-1032.e6. doi:</w:t>
      </w:r>
      <w:hyperlink r:id="rId48">
        <w:r>
          <w:rPr>
            <w:rStyle w:val="Hyperlink"/>
          </w:rPr>
          <w:t xml:space="preserve">10.1016/j.chom.2025.05.006</w:t>
        </w:r>
      </w:hyperlink>
      <w:r>
        <w:t xml:space="preserve">.</w:t>
      </w:r>
    </w:p>
    <w:p>
      <w:pPr>
        <w:pStyle w:val="Compact"/>
        <w:numPr>
          <w:ilvl w:val="0"/>
          <w:numId w:val="1001"/>
        </w:numPr>
      </w:pPr>
      <w:r>
        <w:t xml:space="preserve">Toledo Reyes L, Knorst J, Ortiz F, et al. Early Childhood Predictors for Dental Caries: A Machine Learning Approach.</w:t>
      </w:r>
      <w:r>
        <w:t xml:space="preserve"> </w:t>
      </w:r>
      <w:r>
        <w:rPr>
          <w:i/>
          <w:iCs/>
        </w:rPr>
        <w:t xml:space="preserve">Journal of Dental Research</w:t>
      </w:r>
      <w:r>
        <w:t xml:space="preserve">. 2023;102(9):999-1006. doi:</w:t>
      </w:r>
      <w:hyperlink r:id="rId49">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Scientific Reports</w:t>
      </w:r>
      <w:r>
        <w:t xml:space="preserve">. 2019;9(1):19732. doi:</w:t>
      </w:r>
      <w:hyperlink r:id="rId50">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2022;10(1):240. doi:</w:t>
      </w:r>
      <w:hyperlink r:id="rId51">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Journal of Dental Research</w:t>
      </w:r>
      <w:r>
        <w:t xml:space="preserve">. 2023;102(6):626-635. doi:</w:t>
      </w:r>
      <w:hyperlink r:id="rId52">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Scientific Reports</w:t>
      </w:r>
      <w:r>
        <w:t xml:space="preserve">. 2017;7(1):17413. doi:</w:t>
      </w:r>
      <w:hyperlink r:id="rId53">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54">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2006;7(1):91. doi:</w:t>
      </w:r>
      <w:hyperlink r:id="rId55">
        <w:r>
          <w:rPr>
            <w:rStyle w:val="Hyperlink"/>
          </w:rPr>
          <w:t xml:space="preserve">10.1186/1471-2105-7-91</w:t>
        </w:r>
      </w:hyperlink>
      <w:r>
        <w:t xml:space="preserve">.</w:t>
      </w:r>
    </w:p>
    <w:p>
      <w:pPr>
        <w:pStyle w:val="Compact"/>
        <w:numPr>
          <w:ilvl w:val="0"/>
          <w:numId w:val="1001"/>
        </w:numPr>
      </w:pPr>
      <w:r>
        <w:t xml:space="preserve">Rosenblatt M, Tejavibulya L, Jiang R, et al. Data leakage inflates prediction performance in connectome-based machine learning models.</w:t>
      </w:r>
      <w:r>
        <w:t xml:space="preserve"> </w:t>
      </w:r>
      <w:r>
        <w:rPr>
          <w:i/>
          <w:iCs/>
        </w:rPr>
        <w:t xml:space="preserve">Nature Communications</w:t>
      </w:r>
      <w:r>
        <w:t xml:space="preserve">. 2024;15(1):1829. doi:</w:t>
      </w:r>
      <w:hyperlink r:id="rId56">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57">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58">
        <w:r>
          <w:rPr>
            <w:rStyle w:val="Hyperlink"/>
          </w:rPr>
          <w:t xml:space="preserve">10.1136/bmj-2024-082505</w:t>
        </w:r>
      </w:hyperlink>
      <w:r>
        <w:t xml:space="preserve">.</w:t>
      </w:r>
    </w:p>
    <w:p>
      <w:pPr>
        <w:pStyle w:val="Compact"/>
        <w:numPr>
          <w:ilvl w:val="0"/>
          <w:numId w:val="1001"/>
        </w:numPr>
      </w:pPr>
      <w:r>
        <w:t xml:space="preserve">Teng F, Yang F, Huang S, et al. Prediction of Early Childhood Caries via Spatial-Temporal Variations of Oral Microbiota.</w:t>
      </w:r>
      <w:r>
        <w:t xml:space="preserve"> </w:t>
      </w:r>
      <w:r>
        <w:rPr>
          <w:i/>
          <w:iCs/>
        </w:rPr>
        <w:t xml:space="preserve">Cell Host &amp; Microbe</w:t>
      </w:r>
      <w:r>
        <w:t xml:space="preserve">. 2015;18(3):296-306. doi:</w:t>
      </w:r>
      <w:hyperlink r:id="rId59">
        <w:r>
          <w:rPr>
            <w:rStyle w:val="Hyperlink"/>
          </w:rPr>
          <w:t xml:space="preserve">10.1016/j.chom.2015.08.005</w:t>
        </w:r>
      </w:hyperlink>
      <w:r>
        <w:t xml:space="preserve">.</w:t>
      </w:r>
    </w:p>
    <w:p>
      <w:pPr>
        <w:pStyle w:val="Compact"/>
        <w:numPr>
          <w:ilvl w:val="0"/>
          <w:numId w:val="1001"/>
        </w:numPr>
      </w:pPr>
      <w:r>
        <w:t xml:space="preserve">Grier A, Myers J, O’Connor T, et al. Oral Microbiota Composition Predicts Early Childhood Caries Onset.</w:t>
      </w:r>
      <w:r>
        <w:t xml:space="preserve"> </w:t>
      </w:r>
      <w:r>
        <w:rPr>
          <w:i/>
          <w:iCs/>
        </w:rPr>
        <w:t xml:space="preserve">Journal of Dental Research</w:t>
      </w:r>
      <w:r>
        <w:t xml:space="preserve">. 2021;100(6):599-607. doi:</w:t>
      </w:r>
      <w:hyperlink r:id="rId60">
        <w:r>
          <w:rPr>
            <w:rStyle w:val="Hyperlink"/>
          </w:rPr>
          <w:t xml:space="preserve">10.1177/0022034520979926</w:t>
        </w:r>
      </w:hyperlink>
      <w:r>
        <w:t xml:space="preserve">.</w:t>
      </w:r>
    </w:p>
    <w:p>
      <w:pPr>
        <w:pStyle w:val="Compact"/>
        <w:numPr>
          <w:ilvl w:val="0"/>
          <w:numId w:val="1001"/>
        </w:numPr>
      </w:pPr>
      <w:r>
        <w:t xml:space="preserve">Jørgensen MR, Twetman S. A systematic review of risk assessment tools for early childhood caries: is there evidence?</w:t>
      </w:r>
      <w:r>
        <w:t xml:space="preserve"> </w:t>
      </w:r>
      <w:r>
        <w:rPr>
          <w:i/>
          <w:iCs/>
        </w:rPr>
        <w:t xml:space="preserve">European Archives of Paediatric Dentistry</w:t>
      </w:r>
      <w:r>
        <w:t xml:space="preserve">. 2020;21(2):179-184. doi:</w:t>
      </w:r>
      <w:hyperlink r:id="rId61">
        <w:r>
          <w:rPr>
            <w:rStyle w:val="Hyperlink"/>
          </w:rPr>
          <w:t xml:space="preserve">10.1007/s40368-019-00480-2</w:t>
        </w:r>
      </w:hyperlink>
      <w:r>
        <w:t xml:space="preserve">.</w:t>
      </w:r>
    </w:p>
    <w:p>
      <w:pPr>
        <w:pStyle w:val="Compact"/>
        <w:numPr>
          <w:ilvl w:val="0"/>
          <w:numId w:val="1001"/>
        </w:numPr>
      </w:pPr>
      <w:r>
        <w:t xml:space="preserve">Moynihan P, Tanner L, Holmes R, et al. Systematic Review of Evidence Pertaining to Factors That Modify Risk of Early Childhood Caries.</w:t>
      </w:r>
      <w:r>
        <w:t xml:space="preserve"> </w:t>
      </w:r>
      <w:r>
        <w:rPr>
          <w:i/>
          <w:iCs/>
        </w:rPr>
        <w:t xml:space="preserve">JDR Clinical &amp; Translational Research</w:t>
      </w:r>
      <w:r>
        <w:t xml:space="preserve">. 2019;4(3):202-216. doi:</w:t>
      </w:r>
      <w:hyperlink r:id="rId62">
        <w:r>
          <w:rPr>
            <w:rStyle w:val="Hyperlink"/>
          </w:rPr>
          <w:t xml:space="preserve">10.1177/2380084418824262</w:t>
        </w:r>
      </w:hyperlink>
      <w:r>
        <w:t xml:space="preserve">.</w:t>
      </w:r>
    </w:p>
    <w:p>
      <w:pPr>
        <w:pStyle w:val="Compact"/>
        <w:numPr>
          <w:ilvl w:val="0"/>
          <w:numId w:val="1001"/>
        </w:numPr>
      </w:pPr>
      <w:r>
        <w:t xml:space="preserve">Gloor GB, Macklaim JM, Pawlowsky-Glahn V, et al. Microbiome Datasets Are Compositional: And This Is Not Optional.</w:t>
      </w:r>
      <w:r>
        <w:t xml:space="preserve"> </w:t>
      </w:r>
      <w:r>
        <w:rPr>
          <w:i/>
          <w:iCs/>
        </w:rPr>
        <w:t xml:space="preserve">Frontiers in Microbiology</w:t>
      </w:r>
      <w:r>
        <w:t xml:space="preserve">. 2017;8:2224. doi:</w:t>
      </w:r>
      <w:hyperlink r:id="rId63">
        <w:r>
          <w:rPr>
            <w:rStyle w:val="Hyperlink"/>
          </w:rPr>
          <w:t xml:space="preserve">10.3389/fmicb.2017.02224</w:t>
        </w:r>
      </w:hyperlink>
      <w:r>
        <w:t xml:space="preserve">.</w:t>
      </w:r>
    </w:p>
    <w:p>
      <w:pPr>
        <w:pStyle w:val="Compact"/>
        <w:numPr>
          <w:ilvl w:val="0"/>
          <w:numId w:val="1001"/>
        </w:numPr>
      </w:pPr>
      <w:r>
        <w:t xml:space="preserve">Quinn TP, Erb I, Gloor G, et al. A field guide for the compositional analysis of any-omics data.</w:t>
      </w:r>
      <w:r>
        <w:t xml:space="preserve"> </w:t>
      </w:r>
      <w:r>
        <w:rPr>
          <w:i/>
          <w:iCs/>
        </w:rPr>
        <w:t xml:space="preserve">GigaScience</w:t>
      </w:r>
      <w:r>
        <w:t xml:space="preserve">. 2019;8(9):giz107. doi:</w:t>
      </w:r>
      <w:hyperlink r:id="rId64">
        <w:r>
          <w:rPr>
            <w:rStyle w:val="Hyperlink"/>
          </w:rPr>
          <w:t xml:space="preserve">10.1093/gigascience/giz107</w:t>
        </w:r>
      </w:hyperlink>
      <w:r>
        <w:t xml:space="preserve">.</w:t>
      </w:r>
    </w:p>
    <w:p>
      <w:pPr>
        <w:pStyle w:val="Compact"/>
        <w:numPr>
          <w:ilvl w:val="0"/>
          <w:numId w:val="1001"/>
        </w:numPr>
      </w:pPr>
      <w:r>
        <w:t xml:space="preserve">Saito T, Rehmsmeier M. The Precision-Recall Plot Is More Informative than the ROC Plot When Evaluating Binary Classifiers on Imbalanced Datasets.</w:t>
      </w:r>
      <w:r>
        <w:t xml:space="preserve"> </w:t>
      </w:r>
      <w:r>
        <w:rPr>
          <w:i/>
          <w:iCs/>
        </w:rPr>
        <w:t xml:space="preserve">PLOS ONE</w:t>
      </w:r>
      <w:r>
        <w:t xml:space="preserve">. 2015;10(3):e0118432. doi:</w:t>
      </w:r>
      <w:hyperlink r:id="rId65">
        <w:r>
          <w:rPr>
            <w:rStyle w:val="Hyperlink"/>
          </w:rPr>
          <w:t xml:space="preserve">10.1371/journal.pone.0118432</w:t>
        </w:r>
      </w:hyperlink>
      <w:r>
        <w:t xml:space="preserve">.</w:t>
      </w:r>
    </w:p>
    <w:p>
      <w:pPr>
        <w:pStyle w:val="Compact"/>
        <w:numPr>
          <w:ilvl w:val="0"/>
          <w:numId w:val="1001"/>
        </w:numPr>
      </w:pPr>
      <w:r>
        <w:t xml:space="preserve">Richardson E, Trevizani R, Greenbaum JA, et al. The receiver operating characteristic curve accurately assesses imbalanced datasets.</w:t>
      </w:r>
      <w:r>
        <w:t xml:space="preserve"> </w:t>
      </w:r>
      <w:r>
        <w:rPr>
          <w:i/>
          <w:iCs/>
        </w:rPr>
        <w:t xml:space="preserve">Patterns</w:t>
      </w:r>
      <w:r>
        <w:t xml:space="preserve">. 2024;5(6):100994. doi:</w:t>
      </w:r>
      <w:hyperlink r:id="rId66">
        <w:r>
          <w:rPr>
            <w:rStyle w:val="Hyperlink"/>
          </w:rPr>
          <w:t xml:space="preserve">10.1016/j.patter.2024.100994</w:t>
        </w:r>
      </w:hyperlink>
      <w:r>
        <w:t xml:space="preserve">.</w:t>
      </w:r>
    </w:p>
    <w:p>
      <w:pPr>
        <w:pStyle w:val="Compact"/>
        <w:numPr>
          <w:ilvl w:val="0"/>
          <w:numId w:val="1001"/>
        </w:numPr>
      </w:pPr>
      <w:r>
        <w:t xml:space="preserve">Van Calster B, McLernon DJ, van Smeden M, et al. Calibration: the Achilles heel of predictive analytics.</w:t>
      </w:r>
      <w:r>
        <w:t xml:space="preserve"> </w:t>
      </w:r>
      <w:r>
        <w:rPr>
          <w:i/>
          <w:iCs/>
        </w:rPr>
        <w:t xml:space="preserve">BMC Medicine</w:t>
      </w:r>
      <w:r>
        <w:t xml:space="preserve">. 2019;17(1):230. doi:</w:t>
      </w:r>
      <w:hyperlink r:id="rId67">
        <w:r>
          <w:rPr>
            <w:rStyle w:val="Hyperlink"/>
          </w:rPr>
          <w:t xml:space="preserve">10.1186/s12916-019-1466-7</w:t>
        </w:r>
      </w:hyperlink>
      <w:r>
        <w:t xml:space="preserve">.</w:t>
      </w:r>
    </w:p>
    <w:p>
      <w:pPr>
        <w:pStyle w:val="Compact"/>
        <w:numPr>
          <w:ilvl w:val="0"/>
          <w:numId w:val="1001"/>
        </w:numPr>
      </w:pPr>
      <w:r>
        <w:t xml:space="preserve">Collins GS, Dhiman P, Ma J, et al. Evaluation of clinical prediction models (part 1): from development to external validation.</w:t>
      </w:r>
      <w:r>
        <w:t xml:space="preserve"> </w:t>
      </w:r>
      <w:r>
        <w:rPr>
          <w:i/>
          <w:iCs/>
        </w:rPr>
        <w:t xml:space="preserve">BMJ</w:t>
      </w:r>
      <w:r>
        <w:t xml:space="preserve">. 2024;384:e074819. doi:</w:t>
      </w:r>
      <w:hyperlink r:id="rId68">
        <w:r>
          <w:rPr>
            <w:rStyle w:val="Hyperlink"/>
          </w:rPr>
          <w:t xml:space="preserve">10.1136/bmj-2023-074819</w:t>
        </w:r>
      </w:hyperlink>
      <w:r>
        <w:t xml:space="preserve">.</w:t>
      </w:r>
    </w:p>
    <w:p>
      <w:pPr>
        <w:pStyle w:val="Compact"/>
        <w:numPr>
          <w:ilvl w:val="0"/>
          <w:numId w:val="1001"/>
        </w:numPr>
      </w:pPr>
      <w:r>
        <w:t xml:space="preserve">Riley RD, Archer L, Snell KIE, et al. Evaluation of clinical prediction models (part 2): how to undertake an external validation study.</w:t>
      </w:r>
      <w:r>
        <w:t xml:space="preserve"> </w:t>
      </w:r>
      <w:r>
        <w:rPr>
          <w:i/>
          <w:iCs/>
        </w:rPr>
        <w:t xml:space="preserve">BMJ</w:t>
      </w:r>
      <w:r>
        <w:t xml:space="preserve">. 2024;384:e074820. doi:</w:t>
      </w:r>
      <w:hyperlink r:id="rId69">
        <w:r>
          <w:rPr>
            <w:rStyle w:val="Hyperlink"/>
          </w:rPr>
          <w:t xml:space="preserve">10.1136/bmj-2023-074820</w:t>
        </w:r>
      </w:hyperlink>
      <w:r>
        <w:t xml:space="preserve">.</w:t>
      </w:r>
    </w:p>
    <w:p>
      <w:pPr>
        <w:pStyle w:val="Compact"/>
        <w:numPr>
          <w:ilvl w:val="0"/>
          <w:numId w:val="1001"/>
        </w:numPr>
      </w:pPr>
      <w:r>
        <w:t xml:space="preserve">Wolff RF, Moons KG, Riley RD, et al. PROBAST: A Tool to Assess the Risk of Bias and Applicability of Prediction Model Studies.</w:t>
      </w:r>
      <w:r>
        <w:t xml:space="preserve"> </w:t>
      </w:r>
      <w:r>
        <w:rPr>
          <w:i/>
          <w:iCs/>
        </w:rPr>
        <w:t xml:space="preserve">Annals of Internal Medicine</w:t>
      </w:r>
      <w:r>
        <w:t xml:space="preserve">. 2019;170(1):51-58. doi:</w:t>
      </w:r>
      <w:hyperlink r:id="rId70">
        <w:r>
          <w:rPr>
            <w:rStyle w:val="Hyperlink"/>
          </w:rPr>
          <w:t xml:space="preserve">10.7326/M18-1376</w:t>
        </w:r>
      </w:hyperlink>
      <w:r>
        <w:t xml:space="preserve">.</w:t>
      </w:r>
    </w:p>
    <w:p>
      <w:pPr>
        <w:pStyle w:val="Compact"/>
        <w:numPr>
          <w:ilvl w:val="0"/>
          <w:numId w:val="1001"/>
        </w:numPr>
      </w:pPr>
      <w:r>
        <w:t xml:space="preserve">Vickers AJ, Elkin EB. Decision Curve Analysis: A Novel Method for Evaluating Prediction Models.</w:t>
      </w:r>
      <w:r>
        <w:t xml:space="preserve"> </w:t>
      </w:r>
      <w:r>
        <w:rPr>
          <w:i/>
          <w:iCs/>
        </w:rPr>
        <w:t xml:space="preserve">Medical Decision Making</w:t>
      </w:r>
      <w:r>
        <w:t xml:space="preserve">. 2006;26(6):565-574. doi:</w:t>
      </w:r>
      <w:hyperlink r:id="rId71">
        <w:r>
          <w:rPr>
            <w:rStyle w:val="Hyperlink"/>
          </w:rPr>
          <w:t xml:space="preserve">10.1177/0272989X06295361</w:t>
        </w:r>
      </w:hyperlink>
      <w:r>
        <w:t xml:space="preserve">.</w:t>
      </w:r>
    </w:p>
    <w:p>
      <w:pPr>
        <w:pStyle w:val="Compact"/>
        <w:numPr>
          <w:ilvl w:val="0"/>
          <w:numId w:val="1001"/>
        </w:numPr>
      </w:pPr>
      <w:r>
        <w:t xml:space="preserve">Ho TE, Yang YM, Gu WJ, et al. Construction of an early childhood caries risk prediction model based on the oral microbiome: a nested case‒control study.</w:t>
      </w:r>
      <w:r>
        <w:t xml:space="preserve"> </w:t>
      </w:r>
      <w:r>
        <w:rPr>
          <w:i/>
          <w:iCs/>
        </w:rPr>
        <w:t xml:space="preserve">BMC Oral Health</w:t>
      </w:r>
      <w:r>
        <w:t xml:space="preserve">. 2025;25(1):923. doi:</w:t>
      </w:r>
      <w:hyperlink r:id="rId72">
        <w:r>
          <w:rPr>
            <w:rStyle w:val="Hyperlink"/>
          </w:rPr>
          <w:t xml:space="preserve">10.1186/s12903-025-06147-3</w:t>
        </w:r>
      </w:hyperlink>
      <w:r>
        <w:t xml:space="preserve">.</w:t>
      </w:r>
    </w:p>
    <w:p>
      <w:pPr>
        <w:pStyle w:val="Compact"/>
        <w:numPr>
          <w:ilvl w:val="0"/>
          <w:numId w:val="1001"/>
        </w:numPr>
      </w:pPr>
      <w:r>
        <w:t xml:space="preserve">Valm AM. The Structure of Dental Plaque Microbial Communities in the Transition from Health to Dental Caries and Periodontal Disease.</w:t>
      </w:r>
      <w:r>
        <w:t xml:space="preserve"> </w:t>
      </w:r>
      <w:r>
        <w:rPr>
          <w:i/>
          <w:iCs/>
        </w:rPr>
        <w:t xml:space="preserve">Journal of Molecular Biology</w:t>
      </w:r>
      <w:r>
        <w:t xml:space="preserve">. 2019;431(16):2957-2969. doi:</w:t>
      </w:r>
      <w:hyperlink r:id="rId73">
        <w:r>
          <w:rPr>
            <w:rStyle w:val="Hyperlink"/>
          </w:rPr>
          <w:t xml:space="preserve">10.1016/j.jmb.2019.05.016</w:t>
        </w:r>
      </w:hyperlink>
      <w:r>
        <w:t xml:space="preserve">.</w:t>
      </w:r>
    </w:p>
    <w:p>
      <w:pPr>
        <w:pStyle w:val="Compact"/>
        <w:numPr>
          <w:ilvl w:val="0"/>
          <w:numId w:val="1001"/>
        </w:numPr>
      </w:pPr>
      <w:r>
        <w:t xml:space="preserve">Collins GS, Reitsma JB, Altman DG, et al. Transparent Reporting of a multivariable prediction model for Individual Prognosis Or Diagnosis (TRIPOD): The TRIPOD Statement.</w:t>
      </w:r>
      <w:r>
        <w:t xml:space="preserve"> </w:t>
      </w:r>
      <w:r>
        <w:rPr>
          <w:i/>
          <w:iCs/>
        </w:rPr>
        <w:t xml:space="preserve">Annals of Internal Medicine</w:t>
      </w:r>
      <w:r>
        <w:t xml:space="preserve">. 2015;162(1):55-63. doi:</w:t>
      </w:r>
      <w:hyperlink r:id="rId74">
        <w:r>
          <w:rPr>
            <w:rStyle w:val="Hyperlink"/>
          </w:rPr>
          <w:t xml:space="preserve">10.7326/M14-0697</w:t>
        </w:r>
      </w:hyperlink>
      <w:r>
        <w:t xml:space="preserve">.</w:t>
      </w:r>
    </w:p>
    <w:p>
      <w:pPr>
        <w:pStyle w:val="Compact"/>
        <w:numPr>
          <w:ilvl w:val="0"/>
          <w:numId w:val="1001"/>
        </w:numPr>
      </w:pPr>
      <w:r>
        <w:t xml:space="preserve">Efthimiou O, Seo M, Chalkou K, et al. Developing clinical prediction models: a step-by-step guide.</w:t>
      </w:r>
      <w:r>
        <w:t xml:space="preserve"> </w:t>
      </w:r>
      <w:r>
        <w:rPr>
          <w:i/>
          <w:iCs/>
        </w:rPr>
        <w:t xml:space="preserve">BMJ</w:t>
      </w:r>
      <w:r>
        <w:t xml:space="preserve">. 2024;386:e078276. doi:</w:t>
      </w:r>
      <w:hyperlink r:id="rId75">
        <w:r>
          <w:rPr>
            <w:rStyle w:val="Hyperlink"/>
          </w:rPr>
          <w:t xml:space="preserve">10.1136/bmj-2023-078276</w:t>
        </w:r>
      </w:hyperlink>
      <w:r>
        <w:t xml:space="preserve">.</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61" Target="https://doi.org/10.1007/s40368-019-00480-2" TargetMode="External" /><Relationship Type="http://schemas.openxmlformats.org/officeDocument/2006/relationships/hyperlink" Id="rId59" Target="https://doi.org/10.1016/j.chom.2015.08.005" TargetMode="External" /><Relationship Type="http://schemas.openxmlformats.org/officeDocument/2006/relationships/hyperlink" Id="rId48" Target="https://doi.org/10.1016/j.chom.2025.05.006" TargetMode="External" /><Relationship Type="http://schemas.openxmlformats.org/officeDocument/2006/relationships/hyperlink" Id="rId73" Target="https://doi.org/10.1016/j.jmb.2019.05.016" TargetMode="External" /><Relationship Type="http://schemas.openxmlformats.org/officeDocument/2006/relationships/hyperlink" Id="rId66" Target="https://doi.org/10.1016/j.patter.2024.100994" TargetMode="External" /><Relationship Type="http://schemas.openxmlformats.org/officeDocument/2006/relationships/hyperlink" Id="rId56" Target="https://doi.org/10.1038/s41467-024-46150-w" TargetMode="External" /><Relationship Type="http://schemas.openxmlformats.org/officeDocument/2006/relationships/hyperlink" Id="rId53" Target="https://doi.org/10.1038/s41598-017-17660-z" TargetMode="External" /><Relationship Type="http://schemas.openxmlformats.org/officeDocument/2006/relationships/hyperlink" Id="rId50" Target="https://doi.org/10.1038/s41598-019-56233-0" TargetMode="External" /><Relationship Type="http://schemas.openxmlformats.org/officeDocument/2006/relationships/hyperlink" Id="rId64" Target="https://doi.org/10.1093/gigascience/giz107" TargetMode="External" /><Relationship Type="http://schemas.openxmlformats.org/officeDocument/2006/relationships/hyperlink" Id="rId68" Target="https://doi.org/10.1136/bmj-2023-074819" TargetMode="External" /><Relationship Type="http://schemas.openxmlformats.org/officeDocument/2006/relationships/hyperlink" Id="rId69" Target="https://doi.org/10.1136/bmj-2023-074820" TargetMode="External" /><Relationship Type="http://schemas.openxmlformats.org/officeDocument/2006/relationships/hyperlink" Id="rId75" Target="https://doi.org/10.1136/bmj-2023-078276" TargetMode="External" /><Relationship Type="http://schemas.openxmlformats.org/officeDocument/2006/relationships/hyperlink" Id="rId57" Target="https://doi.org/10.1136/bmj-2023-078378" TargetMode="External" /><Relationship Type="http://schemas.openxmlformats.org/officeDocument/2006/relationships/hyperlink" Id="rId58" Target="https://doi.org/10.1136/bmj-2024-082505" TargetMode="External" /><Relationship Type="http://schemas.openxmlformats.org/officeDocument/2006/relationships/hyperlink" Id="rId60" Target="https://doi.org/10.1177/0022034520979926" TargetMode="External" /><Relationship Type="http://schemas.openxmlformats.org/officeDocument/2006/relationships/hyperlink" Id="rId52" Target="https://doi.org/10.1177/00220345231152802" TargetMode="External" /><Relationship Type="http://schemas.openxmlformats.org/officeDocument/2006/relationships/hyperlink" Id="rId49" Target="https://doi.org/10.1177/00220345231170535" TargetMode="External" /><Relationship Type="http://schemas.openxmlformats.org/officeDocument/2006/relationships/hyperlink" Id="rId71" Target="https://doi.org/10.1177/0272989X06295361" TargetMode="External" /><Relationship Type="http://schemas.openxmlformats.org/officeDocument/2006/relationships/hyperlink" Id="rId62" Target="https://doi.org/10.1177/2380084418824262" TargetMode="External" /><Relationship Type="http://schemas.openxmlformats.org/officeDocument/2006/relationships/hyperlink" Id="rId55" Target="https://doi.org/10.1186/1471-2105-7-91" TargetMode="External" /><Relationship Type="http://schemas.openxmlformats.org/officeDocument/2006/relationships/hyperlink" Id="rId72" Target="https://doi.org/10.1186/s12903-025-06147-3" TargetMode="External" /><Relationship Type="http://schemas.openxmlformats.org/officeDocument/2006/relationships/hyperlink" Id="rId67" Target="https://doi.org/10.1186/s12916-019-1466-7" TargetMode="External" /><Relationship Type="http://schemas.openxmlformats.org/officeDocument/2006/relationships/hyperlink" Id="rId51" Target="https://doi.org/10.1186/s40168-022-01442-5" TargetMode="External" /><Relationship Type="http://schemas.openxmlformats.org/officeDocument/2006/relationships/hyperlink" Id="rId65" Target="https://doi.org/10.1371/journal.pone.0118432" TargetMode="External" /><Relationship Type="http://schemas.openxmlformats.org/officeDocument/2006/relationships/hyperlink" Id="rId54" Target="https://doi.org/10.1371/journal.pone.0173153" TargetMode="External" /><Relationship Type="http://schemas.openxmlformats.org/officeDocument/2006/relationships/hyperlink" Id="rId63" Target="https://doi.org/10.3389/fmicb.2017.02224" TargetMode="External" /><Relationship Type="http://schemas.openxmlformats.org/officeDocument/2006/relationships/hyperlink" Id="rId74" Target="https://doi.org/10.7326/M14-0697" TargetMode="External" /><Relationship Type="http://schemas.openxmlformats.org/officeDocument/2006/relationships/hyperlink" Id="rId70" Target="https://doi.org/10.7326/M18-1376" TargetMode="External" /><Relationship Type="http://schemas.openxmlformats.org/officeDocument/2006/relationships/hyperlink" Id="rId11" Target="https://github.com/HuangShiLab/Single-tooth-ECC"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7/s40368-019-00480-2" TargetMode="External" /><Relationship Type="http://schemas.openxmlformats.org/officeDocument/2006/relationships/hyperlink" Id="rId59" Target="https://doi.org/10.1016/j.chom.2015.08.005" TargetMode="External" /><Relationship Type="http://schemas.openxmlformats.org/officeDocument/2006/relationships/hyperlink" Id="rId48" Target="https://doi.org/10.1016/j.chom.2025.05.006" TargetMode="External" /><Relationship Type="http://schemas.openxmlformats.org/officeDocument/2006/relationships/hyperlink" Id="rId73" Target="https://doi.org/10.1016/j.jmb.2019.05.016" TargetMode="External" /><Relationship Type="http://schemas.openxmlformats.org/officeDocument/2006/relationships/hyperlink" Id="rId66" Target="https://doi.org/10.1016/j.patter.2024.100994" TargetMode="External" /><Relationship Type="http://schemas.openxmlformats.org/officeDocument/2006/relationships/hyperlink" Id="rId56" Target="https://doi.org/10.1038/s41467-024-46150-w" TargetMode="External" /><Relationship Type="http://schemas.openxmlformats.org/officeDocument/2006/relationships/hyperlink" Id="rId53" Target="https://doi.org/10.1038/s41598-017-17660-z" TargetMode="External" /><Relationship Type="http://schemas.openxmlformats.org/officeDocument/2006/relationships/hyperlink" Id="rId50" Target="https://doi.org/10.1038/s41598-019-56233-0" TargetMode="External" /><Relationship Type="http://schemas.openxmlformats.org/officeDocument/2006/relationships/hyperlink" Id="rId64" Target="https://doi.org/10.1093/gigascience/giz107" TargetMode="External" /><Relationship Type="http://schemas.openxmlformats.org/officeDocument/2006/relationships/hyperlink" Id="rId68" Target="https://doi.org/10.1136/bmj-2023-074819" TargetMode="External" /><Relationship Type="http://schemas.openxmlformats.org/officeDocument/2006/relationships/hyperlink" Id="rId69" Target="https://doi.org/10.1136/bmj-2023-074820" TargetMode="External" /><Relationship Type="http://schemas.openxmlformats.org/officeDocument/2006/relationships/hyperlink" Id="rId75" Target="https://doi.org/10.1136/bmj-2023-078276" TargetMode="External" /><Relationship Type="http://schemas.openxmlformats.org/officeDocument/2006/relationships/hyperlink" Id="rId57" Target="https://doi.org/10.1136/bmj-2023-078378" TargetMode="External" /><Relationship Type="http://schemas.openxmlformats.org/officeDocument/2006/relationships/hyperlink" Id="rId58" Target="https://doi.org/10.1136/bmj-2024-082505" TargetMode="External" /><Relationship Type="http://schemas.openxmlformats.org/officeDocument/2006/relationships/hyperlink" Id="rId60" Target="https://doi.org/10.1177/0022034520979926" TargetMode="External" /><Relationship Type="http://schemas.openxmlformats.org/officeDocument/2006/relationships/hyperlink" Id="rId52" Target="https://doi.org/10.1177/00220345231152802" TargetMode="External" /><Relationship Type="http://schemas.openxmlformats.org/officeDocument/2006/relationships/hyperlink" Id="rId49" Target="https://doi.org/10.1177/00220345231170535" TargetMode="External" /><Relationship Type="http://schemas.openxmlformats.org/officeDocument/2006/relationships/hyperlink" Id="rId71" Target="https://doi.org/10.1177/0272989X06295361" TargetMode="External" /><Relationship Type="http://schemas.openxmlformats.org/officeDocument/2006/relationships/hyperlink" Id="rId62" Target="https://doi.org/10.1177/2380084418824262" TargetMode="External" /><Relationship Type="http://schemas.openxmlformats.org/officeDocument/2006/relationships/hyperlink" Id="rId55" Target="https://doi.org/10.1186/1471-2105-7-91" TargetMode="External" /><Relationship Type="http://schemas.openxmlformats.org/officeDocument/2006/relationships/hyperlink" Id="rId72" Target="https://doi.org/10.1186/s12903-025-06147-3" TargetMode="External" /><Relationship Type="http://schemas.openxmlformats.org/officeDocument/2006/relationships/hyperlink" Id="rId67" Target="https://doi.org/10.1186/s12916-019-1466-7" TargetMode="External" /><Relationship Type="http://schemas.openxmlformats.org/officeDocument/2006/relationships/hyperlink" Id="rId51" Target="https://doi.org/10.1186/s40168-022-01442-5" TargetMode="External" /><Relationship Type="http://schemas.openxmlformats.org/officeDocument/2006/relationships/hyperlink" Id="rId65" Target="https://doi.org/10.1371/journal.pone.0118432" TargetMode="External" /><Relationship Type="http://schemas.openxmlformats.org/officeDocument/2006/relationships/hyperlink" Id="rId54" Target="https://doi.org/10.1371/journal.pone.0173153" TargetMode="External" /><Relationship Type="http://schemas.openxmlformats.org/officeDocument/2006/relationships/hyperlink" Id="rId63" Target="https://doi.org/10.3389/fmicb.2017.02224" TargetMode="External" /><Relationship Type="http://schemas.openxmlformats.org/officeDocument/2006/relationships/hyperlink" Id="rId74" Target="https://doi.org/10.7326/M14-0697" TargetMode="External" /><Relationship Type="http://schemas.openxmlformats.org/officeDocument/2006/relationships/hyperlink" Id="rId70" Target="https://doi.org/10.7326/M18-1376" TargetMode="External" /><Relationship Type="http://schemas.openxmlformats.org/officeDocument/2006/relationships/hyperlink" Id="rId11" Target="https://github.com/HuangShiLab/Single-tooth-E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2026-10-03T13:40:08Z</dcterms:created>
  <dcterms:modified xsi:type="dcterms:W3CDTF">2026-10-03T13:40:08Z</dcterms:modified>
</cp:coreProperties>
</file>

<file path=docProps/custom.xml><?xml version="1.0" encoding="utf-8"?>
<Properties xmlns="http://schemas.openxmlformats.org/officeDocument/2006/custom-properties" xmlns:vt="http://schemas.openxmlformats.org/officeDocument/2006/docPropsVTypes"/>
</file>