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rPr>
          <w:lang w:val="en-GB"/>
        </w:rPr>
        <w:t>Development and Internal Validation of a Tooth-Level Early-Childhood Caries Prediction Model with a Prespecified External Validation Protocol</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rPr>
          <w:b/>
          <w:lang w:val="en-GB"/>
        </w:rPr>
        <w:t xml:space="preserve">Background/Objectives: </w:t>
      </w:r>
      <w:r>
        <w:rPr>
          <w:lang w:val="en-GB"/>
        </w:rPr>
        <w:t xml:space="preserve">Early-childhood caries (ECC) is tooth-specific, yet transportable tooth-level risk prediction remains insufficiently validated. We aimed to develop and internally validate transparent clinical prediction models using a public longitudinal cohort and to define a version-locked candidate with a prespecified framework for independent external validation. </w:t>
      </w:r>
      <w:r>
        <w:rPr>
          <w:b/>
          <w:lang w:val="en-GB"/>
        </w:rPr>
        <w:t xml:space="preserve">Methods: </w:t>
      </w:r>
      <w:r>
        <w:rPr>
          <w:lang w:val="en-GB"/>
        </w:rPr>
        <w:t xml:space="preserve">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w:t>
      </w:r>
      <w:r>
        <w:rPr>
          <w:b/>
          <w:lang w:val="en-GB"/>
        </w:rPr>
        <w:t xml:space="preserve">Results: </w:t>
      </w:r>
      <w:r>
        <w:rPr>
          <w:lang w:val="en-GB"/>
        </w:rPr>
        <w:t xml:space="preserve">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development dataset contained 83 events for 24 effective model degrees of freedom, indicating substantial sample-size constraint. </w:t>
      </w:r>
      <w:r>
        <w:rPr>
          <w:b/>
          <w:lang w:val="en-GB"/>
        </w:rPr>
        <w:t xml:space="preserve">Conclusions: </w:t>
      </w:r>
      <w:r>
        <w:rPr>
          <w:lang w:val="en-GB"/>
        </w:rPr>
        <w:t>The models show exploratory internal predictive signal, but incremental spatial benefit, transportability, and clinical utility are unestablished. The locked artifact is a research instrument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rPr>
          <w:lang w:val="en-GB"/>
        </w:rP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version-locked candidate and a methodologically defensible external-validation protocol.</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rPr>
          <w:lang w:val="en-GB"/>
        </w:rP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jc w:val="center"/>
      </w:pPr>
      <w:r>
        <w:rPr>
          <w:lang w:val="en-GB"/>
        </w:rPr>
        <w:drawing>
          <wp:inline xmlns:a="http://schemas.openxmlformats.org/drawingml/2006/main">
            <wp:extent cx="6080760" cy="4864608"/>
            <wp:docPr id="1" name="Picture 1" descr="Evidence workflow separating executed analyses from proposed microbiome, imaging, fusion, and external validation branches" title="Evidence workflow separating executed analyses from proposed microbiome, imaging"/>
            <wp:cNvGraphicFramePr>
              <a:graphicFrameLocks noChangeAspect="1"/>
            </wp:cNvGraphicFramePr>
            <a:graphic>
              <a:graphicData uri="http://schemas.openxmlformats.org/drawingml/2006/picture">
                <pic:pic>
                  <pic:nvPicPr>
                    <pic:cNvPr id="0" name="rId12.png"/>
                    <pic:cNvPicPr/>
                  </pic:nvPicPr>
                  <pic:blipFill>
                    <a:blip r:embed="rId16"/>
                    <a:stretch>
                      <a:fillRect/>
                    </a:stretch>
                  </pic:blipFill>
                  <pic:spPr>
                    <a:xfrm>
                      <a:off x="0" y="0"/>
                      <a:ext cx="6080760" cy="4864608"/>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rPr>
          <w:lang w:val="en-GB"/>
        </w:rPr>
        <w:t>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rPr>
          <w:lang w:val="en-GB"/>
        </w:rP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pStyle w:val="MDPI31text"/>
      </w:pPr>
      <w:r>
        <w:rPr>
          <w:lang w:val="en-GB"/>
        </w:rPr>
        <w:t>The development sample size was fixed by the available public cohort; no prospective sample-size calculation was possible. The 83 observed events relative to 24 effective model degrees of freedom (3.46 events per parameter) are reported descriptively as a warning of potential overfitting, not as a formal adequacy criterion.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rPr>
          <w:lang w:val="en-GB"/>
        </w:rPr>
        <w:t>2.5. Version-Locked Model and Prespecified External Validation Framework</w:t>
      </w:r>
    </w:p>
    <w:p>
      <w:pPr>
        <w:pStyle w:val="MDPI31text"/>
      </w:pPr>
      <w:r>
        <w:rPr>
          <w:lang w:val="en-GB"/>
        </w:rPr>
        <w:t>A final research artifact was version-locked before any external dataset was available so that subsequent external evaluation can apply the same preprocessing, coefficients, and probability transformation without post hoc modification. Locking an artifact does not constitute validation and does not justify clinical deployment.</w:t>
      </w:r>
    </w:p>
    <w:p>
      <w:pPr>
        <w:pStyle w:val="MDPI31text"/>
      </w:pPr>
      <w:r>
        <w:rPr>
          <w:lang w:val="en-GB"/>
        </w:rPr>
        <w:t>Primary model. The locked primary model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locked as a secondary exploratory candidate and must not be deployed until its derived predictors are reconstructed and verified.</w:t>
      </w:r>
    </w:p>
    <w:p>
      <w:pPr>
        <w:pStyle w:val="MDPI31text"/>
      </w:pPr>
      <w:r>
        <w:rPr>
          <w:lang w:val="en-GB"/>
        </w:rPr>
        <w:t>Locking procedure. 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locking: 996 transitions, 83 events, and 81 children, with a hard abort on any divergence. The published bundle records the source SHA-256, the seed, Python and library versions, the lock timestamp, and its own SHA-256, so that an external centre scores exactly this artifact.</w:t>
      </w:r>
    </w:p>
    <w:p>
      <w:pPr>
        <w:pStyle w:val="MDPI31text"/>
      </w:pPr>
      <w:r>
        <w:rPr>
          <w:lang w:val="en-GB"/>
        </w:rPr>
        <w:t>Honest reporting of the locked artifact. Because the regularisation value was chosen once on the full cohort, the artifact’s cross-fitted metrics are optimistic relative to the fold-wise estimates reported in Section 3.2. The artifact’s apparent resubstitution metrics are optimistic still. Performance reporting must cite the fold-wise out-of-fold estimates in Section 3.2, not the artifact’s own metric fields. The model card states this explicitly so that the artifact cannot be misread as validation evidence.</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rPr>
          <w:lang w:val="en-GB"/>
        </w:rPr>
        <w:t>Prespecified external-validation analysis. The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rPr>
          <w:lang w:val="en-GB"/>
        </w:rPr>
        <w:t>The supplied v1.3.2 notebook was inspected for outcome timing, grouped partitioning, and test quality. Its saved CI_SMOKE 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Stage</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Records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Children or 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Interpretation</w:t>
            </w:r>
          </w:p>
        </w:tc>
      </w:tr>
      <w:tr>
        <w:tc>
          <w:tcPr>
            <w:tcW w:type="dxa" w:w="2616"/>
            <w:vAlign w:val="center"/>
            <w:tcMar>
              <w:top w:w="80" w:type="dxa"/>
              <w:start w:w="80" w:type="dxa"/>
              <w:bottom w:w="80" w:type="dxa"/>
              <w:end w:w="80" w:type="dxa"/>
            </w:tcMar>
          </w:tcPr>
          <w:p>
            <w:r>
              <w:rPr>
                <w:rFonts w:ascii="Palatino Linotype" w:hAnsi="Palatino Linotype"/>
                <w:sz w:val="18"/>
              </w:rPr>
              <w:t>Public all_metadata worksheet</w:t>
            </w:r>
          </w:p>
        </w:tc>
        <w:tc>
          <w:tcPr>
            <w:tcW w:type="dxa" w:w="2616"/>
            <w:vAlign w:val="center"/>
            <w:tcMar>
              <w:top w:w="80" w:type="dxa"/>
              <w:start w:w="80" w:type="dxa"/>
              <w:bottom w:w="80" w:type="dxa"/>
              <w:end w:w="80" w:type="dxa"/>
            </w:tcMar>
          </w:tcPr>
          <w:p>
            <w:pPr>
              <w:jc w:val="center"/>
            </w:pPr>
            <w:r>
              <w:rPr>
                <w:rFonts w:ascii="Palatino Linotype" w:hAnsi="Palatino Linotype"/>
                <w:sz w:val="18"/>
              </w:rPr>
              <w:t>2,504</w:t>
            </w:r>
          </w:p>
        </w:tc>
        <w:tc>
          <w:tcPr>
            <w:tcW w:type="dxa" w:w="2616"/>
            <w:vAlign w:val="center"/>
            <w:tcMar>
              <w:top w:w="80" w:type="dxa"/>
              <w:start w:w="80" w:type="dxa"/>
              <w:bottom w:w="80" w:type="dxa"/>
              <w:end w:w="80" w:type="dxa"/>
            </w:tcMar>
          </w:tcPr>
          <w:p>
            <w:pPr>
              <w:jc w:val="center"/>
            </w:pPr>
            <w:r>
              <w:rPr>
                <w:rFonts w:ascii="Palatino Linotype" w:hAnsi="Palatino Linotype"/>
                <w:sz w:val="18"/>
              </w:rPr>
              <w:t>89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Source records before tooth filtering</w:t>
            </w:r>
          </w:p>
        </w:tc>
      </w:tr>
      <w:tr>
        <w:tc>
          <w:tcPr>
            <w:tcW w:type="dxa" w:w="2616"/>
            <w:vAlign w:val="center"/>
            <w:tcMar>
              <w:top w:w="80" w:type="dxa"/>
              <w:start w:w="80" w:type="dxa"/>
              <w:bottom w:w="80" w:type="dxa"/>
              <w:end w:w="80" w:type="dxa"/>
            </w:tcMar>
          </w:tcPr>
          <w:p>
            <w:r>
              <w:rPr>
                <w:rFonts w:ascii="Palatino Linotype" w:hAnsi="Palatino Linotype"/>
                <w:sz w:val="18"/>
              </w:rPr>
              <w:t>Composite position T5161</w:t>
            </w:r>
          </w:p>
        </w:tc>
        <w:tc>
          <w:tcPr>
            <w:tcW w:type="dxa" w:w="2616"/>
            <w:vAlign w:val="center"/>
            <w:tcMar>
              <w:top w:w="80" w:type="dxa"/>
              <w:start w:w="80" w:type="dxa"/>
              <w:bottom w:w="80" w:type="dxa"/>
              <w:end w:w="80" w:type="dxa"/>
            </w:tcMar>
          </w:tcPr>
          <w:p>
            <w:pPr>
              <w:jc w:val="center"/>
            </w:pPr>
            <w:r>
              <w:rPr>
                <w:rFonts w:ascii="Palatino Linotype" w:hAnsi="Palatino Linotype"/>
                <w:sz w:val="18"/>
              </w:rPr>
              <w:t>220</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Excluded from individual-tooth modelling</w:t>
            </w:r>
          </w:p>
        </w:tc>
      </w:tr>
      <w:tr>
        <w:tc>
          <w:tcPr>
            <w:tcW w:type="dxa" w:w="2616"/>
            <w:vAlign w:val="center"/>
            <w:tcMar>
              <w:top w:w="80" w:type="dxa"/>
              <w:start w:w="80" w:type="dxa"/>
              <w:bottom w:w="80" w:type="dxa"/>
              <w:end w:w="80" w:type="dxa"/>
            </w:tcMar>
          </w:tcPr>
          <w:p>
            <w:r>
              <w:rPr>
                <w:rFonts w:ascii="Palatino Linotype" w:hAnsi="Palatino Linotype"/>
                <w:sz w:val="18"/>
              </w:rPr>
              <w:t>Single-tooth rows</w:t>
            </w:r>
          </w:p>
        </w:tc>
        <w:tc>
          <w:tcPr>
            <w:tcW w:type="dxa" w:w="2616"/>
            <w:vAlign w:val="center"/>
            <w:tcMar>
              <w:top w:w="80" w:type="dxa"/>
              <w:start w:w="80" w:type="dxa"/>
              <w:bottom w:w="80" w:type="dxa"/>
              <w:end w:w="80" w:type="dxa"/>
            </w:tcMar>
          </w:tcPr>
          <w:p>
            <w:pPr>
              <w:jc w:val="center"/>
            </w:pPr>
            <w:r>
              <w:rPr>
                <w:rFonts w:ascii="Palatino Linotype" w:hAnsi="Palatino Linotype"/>
                <w:sz w:val="18"/>
              </w:rPr>
              <w:t>2,284</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Tooth-level records</w:t>
            </w:r>
          </w:p>
        </w:tc>
      </w:tr>
      <w:tr>
        <w:tc>
          <w:tcPr>
            <w:tcW w:type="dxa" w:w="2616"/>
            <w:vAlign w:val="center"/>
            <w:tcMar>
              <w:top w:w="80" w:type="dxa"/>
              <w:start w:w="80" w:type="dxa"/>
              <w:bottom w:w="80" w:type="dxa"/>
              <w:end w:w="80" w:type="dxa"/>
            </w:tcMar>
          </w:tcPr>
          <w:p>
            <w:r>
              <w:rPr>
                <w:rFonts w:ascii="Palatino Linotype" w:hAnsi="Palatino Linotype"/>
                <w:sz w:val="18"/>
              </w:rPr>
              <w:t>Same-tooth observed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1,388</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Any successive recorded visits</w:t>
            </w:r>
          </w:p>
        </w:tc>
      </w:tr>
      <w:tr>
        <w:tc>
          <w:tcPr>
            <w:tcW w:type="dxa" w:w="2616"/>
            <w:vAlign w:val="center"/>
            <w:tcMar>
              <w:top w:w="80" w:type="dxa"/>
              <w:start w:w="80" w:type="dxa"/>
              <w:bottom w:w="80" w:type="dxa"/>
              <w:end w:w="80" w:type="dxa"/>
            </w:tcMar>
          </w:tcPr>
          <w:p>
            <w:r>
              <w:rPr>
                <w:rFonts w:ascii="Palatino Linotype" w:hAnsi="Palatino Linotype"/>
                <w:sz w:val="18"/>
              </w:rPr>
              <w:t>Consecutive-index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1,160</w:t>
            </w:r>
          </w:p>
        </w:tc>
        <w:tc>
          <w:tcPr>
            <w:tcW w:type="dxa" w:w="2616"/>
            <w:vAlign w:val="center"/>
            <w:tcMar>
              <w:top w:w="80" w:type="dxa"/>
              <w:start w:w="80" w:type="dxa"/>
              <w:bottom w:w="80" w:type="dxa"/>
              <w:end w:w="80" w:type="dxa"/>
            </w:tcMar>
          </w:tcPr>
          <w:p>
            <w:pPr>
              <w:jc w:val="center"/>
            </w:pPr>
            <w:r>
              <w:rPr>
                <w:rFonts w:ascii="Palatino Linotype" w:hAnsi="Palatino Linotype"/>
                <w:sz w:val="18"/>
              </w:rPr>
              <w:t>913 H→H; 84 H→C; 163 C→C; 0 C→H</w:t>
            </w:r>
          </w:p>
        </w:tc>
        <w:tc>
          <w:tcPr>
            <w:tcW w:type="dxa" w:w="2616"/>
            <w:vAlign w:val="center"/>
            <w:tcMar>
              <w:top w:w="80" w:type="dxa"/>
              <w:start w:w="80" w:type="dxa"/>
              <w:bottom w:w="80" w:type="dxa"/>
              <w:end w:w="80" w:type="dxa"/>
            </w:tcMar>
          </w:tcPr>
          <w:p>
            <w:pPr>
              <w:jc w:val="center"/>
            </w:pPr>
            <w:r>
              <w:rPr>
                <w:rFonts w:ascii="Palatino Linotype" w:hAnsi="Palatino Linotype"/>
                <w:sz w:val="18"/>
              </w:rPr>
              <w:t>Exact transition rule</w:t>
            </w:r>
          </w:p>
        </w:tc>
      </w:tr>
      <w:tr>
        <w:tc>
          <w:tcPr>
            <w:tcW w:type="dxa" w:w="2616"/>
            <w:vAlign w:val="center"/>
            <w:tcMar>
              <w:top w:w="80" w:type="dxa"/>
              <w:start w:w="80" w:type="dxa"/>
              <w:bottom w:w="80" w:type="dxa"/>
              <w:end w:w="80" w:type="dxa"/>
            </w:tcMar>
          </w:tcPr>
          <w:p>
            <w:r>
              <w:rPr>
                <w:rFonts w:ascii="Palatino Linotype" w:hAnsi="Palatino Linotype"/>
                <w:sz w:val="18"/>
              </w:rPr>
              <w:t>Healthy-at-t onset cohort</w:t>
            </w:r>
          </w:p>
        </w:tc>
        <w:tc>
          <w:tcPr>
            <w:tcW w:type="dxa" w:w="2616"/>
            <w:vAlign w:val="center"/>
            <w:tcMar>
              <w:top w:w="80" w:type="dxa"/>
              <w:start w:w="80" w:type="dxa"/>
              <w:bottom w:w="80" w:type="dxa"/>
              <w:end w:w="80" w:type="dxa"/>
            </w:tcMar>
          </w:tcPr>
          <w:p>
            <w:pPr>
              <w:jc w:val="center"/>
            </w:pPr>
            <w:r>
              <w:rPr>
                <w:rFonts w:ascii="Palatino Linotype" w:hAnsi="Palatino Linotype"/>
                <w:sz w:val="18"/>
              </w:rPr>
              <w:t>997</w:t>
            </w:r>
          </w:p>
        </w:tc>
        <w:tc>
          <w:tcPr>
            <w:tcW w:type="dxa" w:w="2616"/>
            <w:vAlign w:val="center"/>
            <w:tcMar>
              <w:top w:w="80" w:type="dxa"/>
              <w:start w:w="80" w:type="dxa"/>
              <w:bottom w:w="80" w:type="dxa"/>
              <w:end w:w="80" w:type="dxa"/>
            </w:tcMar>
          </w:tcPr>
          <w:p>
            <w:pPr>
              <w:jc w:val="center"/>
            </w:pPr>
            <w:r>
              <w:rPr>
                <w:rFonts w:ascii="Palatino Linotype" w:hAnsi="Palatino Linotype"/>
                <w:sz w:val="18"/>
              </w:rPr>
              <w:t>84 events</w:t>
            </w:r>
          </w:p>
        </w:tc>
        <w:tc>
          <w:tcPr>
            <w:tcW w:type="dxa" w:w="2616"/>
            <w:vAlign w:val="center"/>
            <w:tcMar>
              <w:top w:w="80" w:type="dxa"/>
              <w:start w:w="80" w:type="dxa"/>
              <w:bottom w:w="80" w:type="dxa"/>
              <w:end w:w="80" w:type="dxa"/>
            </w:tcMar>
          </w:tcPr>
          <w:p>
            <w:pPr>
              <w:jc w:val="center"/>
            </w:pPr>
            <w:r>
              <w:rPr>
                <w:rFonts w:ascii="Palatino Linotype" w:hAnsi="Palatino Linotype"/>
                <w:sz w:val="18"/>
              </w:rPr>
              <w:t>Reproduced target counts</w:t>
            </w:r>
          </w:p>
        </w:tc>
      </w:tr>
      <w:tr>
        <w:tc>
          <w:tcPr>
            <w:tcW w:type="dxa" w:w="2616"/>
            <w:vAlign w:val="center"/>
            <w:tcMar>
              <w:top w:w="80" w:type="dxa"/>
              <w:start w:w="80" w:type="dxa"/>
              <w:bottom w:w="80" w:type="dxa"/>
              <w:end w:w="80" w:type="dxa"/>
            </w:tcMar>
          </w:tcPr>
          <w:p>
            <w:r>
              <w:rPr>
                <w:rFonts w:ascii="Palatino Linotype" w:hAnsi="Palatino Linotype"/>
                <w:sz w:val="18"/>
              </w:rPr>
              <w:t>Primary predictive analysis</w:t>
            </w:r>
          </w:p>
        </w:tc>
        <w:tc>
          <w:tcPr>
            <w:tcW w:type="dxa" w:w="2616"/>
            <w:vAlign w:val="center"/>
            <w:tcMar>
              <w:top w:w="80" w:type="dxa"/>
              <w:start w:w="80" w:type="dxa"/>
              <w:bottom w:w="80" w:type="dxa"/>
              <w:end w:w="80" w:type="dxa"/>
            </w:tcMar>
          </w:tcPr>
          <w:p>
            <w:pPr>
              <w:jc w:val="center"/>
            </w:pPr>
            <w:r>
              <w:rPr>
                <w:rFonts w:ascii="Palatino Linotype" w:hAnsi="Palatino Linotype"/>
                <w:sz w:val="18"/>
              </w:rPr>
              <w:t>996</w:t>
            </w:r>
          </w:p>
        </w:tc>
        <w:tc>
          <w:tcPr>
            <w:tcW w:type="dxa" w:w="2616"/>
            <w:vAlign w:val="center"/>
            <w:tcMar>
              <w:top w:w="80" w:type="dxa"/>
              <w:start w:w="80" w:type="dxa"/>
              <w:bottom w:w="80" w:type="dxa"/>
              <w:end w:w="80" w:type="dxa"/>
            </w:tcMar>
          </w:tcPr>
          <w:p>
            <w:pPr>
              <w:jc w:val="center"/>
            </w:pPr>
            <w:r>
              <w:rPr>
                <w:rFonts w:ascii="Palatino Linotype" w:hAnsi="Palatino Linotype"/>
                <w:sz w:val="18"/>
              </w:rPr>
              <w:t>83 events; 81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One zero-month interval excluded</w:t>
            </w:r>
          </w:p>
        </w:tc>
      </w:tr>
    </w:tbl>
    <w:p>
      <w:pPr>
        <w:pStyle w:val="MDPI43tablefooter"/>
      </w:pPr>
      <w:r>
        <w:rPr>
          <w:lang w:val="en-GB"/>
        </w:rPr>
        <w:t>H = clinically healthy; C = carious at the next recorded visit.</w:t>
      </w:r>
    </w:p>
    <w:p>
      <w:pPr>
        <w:pStyle w:val="MDPI32textnoindent"/>
        <w:jc w:val="center"/>
      </w:pPr>
      <w:r>
        <w:rPr>
          <w:lang w:val="en-GB"/>
        </w:rPr>
        <w:drawing>
          <wp:inline xmlns:a="http://schemas.openxmlformats.org/drawingml/2006/main">
            <wp:extent cx="5394960" cy="6715369"/>
            <wp:docPr id="2" name="Picture 2" descr="Flow diagram reconstructing the public cohort and primary predictive analysis set" title="Flow diagram reconstructing the public cohort and primary predictive analysis se"/>
            <wp:cNvGraphicFramePr>
              <a:graphicFrameLocks noChangeAspect="1"/>
            </wp:cNvGraphicFramePr>
            <a:graphic>
              <a:graphicData uri="http://schemas.openxmlformats.org/drawingml/2006/picture">
                <pic:pic>
                  <pic:nvPicPr>
                    <pic:cNvPr id="0" name="rId22.png"/>
                    <pic:cNvPicPr/>
                  </pic:nvPicPr>
                  <pic:blipFill>
                    <a:blip r:embed="rId17"/>
                    <a:stretch>
                      <a:fillRect/>
                    </a:stretch>
                  </pic:blipFill>
                  <pic:spPr>
                    <a:xfrm>
                      <a:off x="0" y="0"/>
                      <a:ext cx="5394960" cy="6715369"/>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Pr>
      <w:r>
        <w:rPr>
          <w:lang w:val="en-GB"/>
        </w:rPr>
        <w:t>Table 2. Child-grouped pooled out-of-fold predictive performance in the public clinical cohort (996 transitions; 83 events).</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Average precision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AUROC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clinical</w:t>
            </w:r>
          </w:p>
        </w:tc>
        <w:tc>
          <w:tcPr>
            <w:tcW w:type="dxa" w:w="2093"/>
            <w:vAlign w:val="center"/>
            <w:tcMar>
              <w:top w:w="80" w:type="dxa"/>
              <w:start w:w="80" w:type="dxa"/>
              <w:bottom w:w="80" w:type="dxa"/>
              <w:end w:w="80" w:type="dxa"/>
            </w:tcMar>
          </w:tcPr>
          <w:p>
            <w:pPr>
              <w:jc w:val="center"/>
            </w:pPr>
            <w:r>
              <w:rPr>
                <w:rFonts w:ascii="Palatino Linotype" w:hAnsi="Palatino Linotype"/>
                <w:sz w:val="18"/>
              </w:rPr>
              <w:t>0.166 (0.120–0.246)</w:t>
            </w:r>
          </w:p>
        </w:tc>
        <w:tc>
          <w:tcPr>
            <w:tcW w:type="dxa" w:w="2093"/>
            <w:vAlign w:val="center"/>
            <w:tcMar>
              <w:top w:w="80" w:type="dxa"/>
              <w:start w:w="80" w:type="dxa"/>
              <w:bottom w:w="80" w:type="dxa"/>
              <w:end w:w="80" w:type="dxa"/>
            </w:tcMar>
          </w:tcPr>
          <w:p>
            <w:pPr>
              <w:jc w:val="center"/>
            </w:pPr>
            <w:r>
              <w:rPr>
                <w:rFonts w:ascii="Palatino Linotype" w:hAnsi="Palatino Linotype"/>
                <w:sz w:val="18"/>
              </w:rPr>
              <w:t>0.686 (0.618–0.754)</w:t>
            </w:r>
          </w:p>
        </w:tc>
        <w:tc>
          <w:tcPr>
            <w:tcW w:type="dxa" w:w="2093"/>
            <w:vAlign w:val="center"/>
            <w:tcMar>
              <w:top w:w="80" w:type="dxa"/>
              <w:start w:w="80" w:type="dxa"/>
              <w:bottom w:w="80" w:type="dxa"/>
              <w:end w:w="80" w:type="dxa"/>
            </w:tcMar>
          </w:tcPr>
          <w:p>
            <w:pPr>
              <w:jc w:val="center"/>
            </w:pPr>
            <w:r>
              <w:rPr>
                <w:rFonts w:ascii="Palatino Linotype" w:hAnsi="Palatino Linotype"/>
                <w:sz w:val="18"/>
              </w:rPr>
              <w:t>0.0806 (0.0624–0.0996)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Clinical plus spatial</w:t>
            </w:r>
          </w:p>
        </w:tc>
        <w:tc>
          <w:tcPr>
            <w:tcW w:type="dxa" w:w="2093"/>
            <w:vAlign w:val="center"/>
            <w:tcMar>
              <w:top w:w="80" w:type="dxa"/>
              <w:start w:w="80" w:type="dxa"/>
              <w:bottom w:w="80" w:type="dxa"/>
              <w:end w:w="80" w:type="dxa"/>
            </w:tcMar>
          </w:tcPr>
          <w:p>
            <w:pPr>
              <w:jc w:val="center"/>
            </w:pPr>
            <w:r>
              <w:rPr>
                <w:rFonts w:ascii="Palatino Linotype" w:hAnsi="Palatino Linotype"/>
                <w:sz w:val="18"/>
              </w:rPr>
              <w:t>0.178 (0.138–0.239)</w:t>
            </w:r>
          </w:p>
        </w:tc>
        <w:tc>
          <w:tcPr>
            <w:tcW w:type="dxa" w:w="2093"/>
            <w:vAlign w:val="center"/>
            <w:tcMar>
              <w:top w:w="80" w:type="dxa"/>
              <w:start w:w="80" w:type="dxa"/>
              <w:bottom w:w="80" w:type="dxa"/>
              <w:end w:w="80" w:type="dxa"/>
            </w:tcMar>
          </w:tcPr>
          <w:p>
            <w:pPr>
              <w:jc w:val="center"/>
            </w:pPr>
            <w:r>
              <w:rPr>
                <w:rFonts w:ascii="Palatino Linotype" w:hAnsi="Palatino Linotype"/>
                <w:sz w:val="18"/>
              </w:rPr>
              <w:t>0.737 (0.660–0.804)</w:t>
            </w:r>
          </w:p>
        </w:tc>
        <w:tc>
          <w:tcPr>
            <w:tcW w:type="dxa" w:w="2093"/>
            <w:vAlign w:val="center"/>
            <w:tcMar>
              <w:top w:w="80" w:type="dxa"/>
              <w:start w:w="80" w:type="dxa"/>
              <w:bottom w:w="80" w:type="dxa"/>
              <w:end w:w="80" w:type="dxa"/>
            </w:tcMar>
          </w:tcPr>
          <w:p>
            <w:pPr>
              <w:jc w:val="center"/>
            </w:pPr>
            <w:r>
              <w:rPr>
                <w:rFonts w:ascii="Palatino Linotype" w:hAnsi="Palatino Linotype"/>
                <w:sz w:val="18"/>
              </w:rPr>
              <w:t>0.0754 (0.0574–0.0949)</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Fold-specific training prevalence</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0.0764</w:t>
            </w:r>
          </w:p>
        </w:tc>
        <w:tc>
          <w:tcPr>
            <w:tcW w:type="dxa" w:w="2093"/>
            <w:vAlign w:val="center"/>
            <w:tcMar>
              <w:top w:w="80" w:type="dxa"/>
              <w:start w:w="80" w:type="dxa"/>
              <w:bottom w:w="80" w:type="dxa"/>
              <w:end w:w="80" w:type="dxa"/>
            </w:tcMar>
          </w:tcPr>
          <w:p>
            <w:pPr>
              <w:jc w:val="center"/>
            </w:pPr>
            <w:r>
              <w:rPr>
                <w:rFonts w:ascii="Palatino Linotype" w:hAnsi="Palatino Linotype"/>
                <w:sz w:val="18"/>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jc w:val="center"/>
      </w:pPr>
      <w:r>
        <w:rPr>
          <w:lang w:val="en-GB"/>
        </w:rPr>
        <w:drawing>
          <wp:inline xmlns:a="http://schemas.openxmlformats.org/drawingml/2006/main">
            <wp:extent cx="6080760" cy="2396426"/>
            <wp:docPr id="3" name="Picture 3" descr="Precision-recall and ROC curves for the minimal clinical and clinical-plus-spatial models" title="Precision-recall and ROC curves for the minimal clinical and clinical-plus-spati"/>
            <wp:cNvGraphicFramePr>
              <a:graphicFrameLocks noChangeAspect="1"/>
            </wp:cNvGraphicFramePr>
            <a:graphic>
              <a:graphicData uri="http://schemas.openxmlformats.org/drawingml/2006/picture">
                <pic:pic>
                  <pic:nvPicPr>
                    <pic:cNvPr id="0" name="rId26.png"/>
                    <pic:cNvPicPr/>
                  </pic:nvPicPr>
                  <pic:blipFill>
                    <a:blip r:embed="rId18"/>
                    <a:stretch>
                      <a:fillRect/>
                    </a:stretch>
                  </pic:blipFill>
                  <pic:spPr>
                    <a:xfrm>
                      <a:off x="0" y="0"/>
                      <a:ext cx="6080760" cy="2396426"/>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 and probability version</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Mean risk</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Calibration slope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0.1182</w:t>
            </w:r>
          </w:p>
        </w:tc>
        <w:tc>
          <w:tcPr>
            <w:tcW w:type="dxa" w:w="2093"/>
            <w:vAlign w:val="center"/>
            <w:tcMar>
              <w:top w:w="80" w:type="dxa"/>
              <w:start w:w="80" w:type="dxa"/>
              <w:bottom w:w="80" w:type="dxa"/>
              <w:end w:w="80" w:type="dxa"/>
            </w:tcMar>
          </w:tcPr>
          <w:p>
            <w:pPr>
              <w:jc w:val="center"/>
            </w:pPr>
            <w:r>
              <w:rPr>
                <w:rFonts w:ascii="Palatino Linotype" w:hAnsi="Palatino Linotype"/>
                <w:sz w:val="18"/>
              </w:rPr>
              <w:t>0.516</w:t>
            </w:r>
          </w:p>
        </w:tc>
        <w:tc>
          <w:tcPr>
            <w:tcW w:type="dxa" w:w="2093"/>
            <w:vAlign w:val="center"/>
            <w:tcMar>
              <w:top w:w="80" w:type="dxa"/>
              <w:start w:w="80" w:type="dxa"/>
              <w:bottom w:w="80" w:type="dxa"/>
              <w:end w:w="80" w:type="dxa"/>
            </w:tcMar>
          </w:tcPr>
          <w:p>
            <w:pPr>
              <w:jc w:val="center"/>
            </w:pPr>
            <w:r>
              <w:rPr>
                <w:rFonts w:ascii="Palatino Linotype" w:hAnsi="Palatino Linotype"/>
                <w:sz w:val="18"/>
              </w:rPr>
              <w:t>0.0806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Minimal,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0.0819</w:t>
            </w:r>
          </w:p>
        </w:tc>
        <w:tc>
          <w:tcPr>
            <w:tcW w:type="dxa" w:w="2093"/>
            <w:vAlign w:val="center"/>
            <w:tcMar>
              <w:top w:w="80" w:type="dxa"/>
              <w:start w:w="80" w:type="dxa"/>
              <w:bottom w:w="80" w:type="dxa"/>
              <w:end w:w="80" w:type="dxa"/>
            </w:tcMar>
          </w:tcPr>
          <w:p>
            <w:pPr>
              <w:jc w:val="center"/>
            </w:pPr>
            <w:r>
              <w:rPr>
                <w:rFonts w:ascii="Palatino Linotype" w:hAnsi="Palatino Linotype"/>
                <w:sz w:val="18"/>
              </w:rPr>
              <w:t>0.613</w:t>
            </w:r>
          </w:p>
        </w:tc>
        <w:tc>
          <w:tcPr>
            <w:tcW w:type="dxa" w:w="2093"/>
            <w:vAlign w:val="center"/>
            <w:tcMar>
              <w:top w:w="80" w:type="dxa"/>
              <w:start w:w="80" w:type="dxa"/>
              <w:bottom w:w="80" w:type="dxa"/>
              <w:end w:w="80" w:type="dxa"/>
            </w:tcMar>
          </w:tcPr>
          <w:p>
            <w:pPr>
              <w:jc w:val="center"/>
            </w:pPr>
            <w:r>
              <w:rPr>
                <w:rFonts w:ascii="Palatino Linotype" w:hAnsi="Palatino Linotype"/>
                <w:sz w:val="18"/>
              </w:rPr>
              <w:t>0.0762</w:t>
            </w:r>
          </w:p>
        </w:tc>
        <w:tc>
          <w:tcPr>
            <w:tcW w:type="dxa" w:w="2093"/>
            <w:vAlign w:val="center"/>
            <w:tcMar>
              <w:top w:w="80" w:type="dxa"/>
              <w:start w:w="80" w:type="dxa"/>
              <w:bottom w:w="80" w:type="dxa"/>
              <w:end w:w="80" w:type="dxa"/>
            </w:tcMar>
          </w:tcPr>
          <w:p>
            <w:pPr>
              <w:jc w:val="center"/>
            </w:pPr>
            <w:r>
              <w:rPr>
                <w:rFonts w:ascii="Palatino Linotype" w:hAnsi="Palatino Linotype"/>
                <w:sz w:val="18"/>
              </w:rPr>
              <w:t>0.2730</w:t>
            </w:r>
          </w:p>
        </w:tc>
      </w:tr>
      <w:tr>
        <w:tc>
          <w:tcPr>
            <w:tcW w:type="dxa" w:w="2093"/>
            <w:vAlign w:val="center"/>
            <w:tcMar>
              <w:top w:w="80" w:type="dxa"/>
              <w:start w:w="80" w:type="dxa"/>
              <w:bottom w:w="80" w:type="dxa"/>
              <w:end w:w="80" w:type="dxa"/>
            </w:tcMar>
          </w:tcPr>
          <w:p>
            <w:r>
              <w:rPr>
                <w:rFonts w:ascii="Palatino Linotype" w:hAnsi="Palatino Linotype"/>
                <w:sz w:val="18"/>
              </w:rPr>
              <w:t>Minimal,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0.0802</w:t>
            </w:r>
          </w:p>
        </w:tc>
        <w:tc>
          <w:tcPr>
            <w:tcW w:type="dxa" w:w="2093"/>
            <w:vAlign w:val="center"/>
            <w:tcMar>
              <w:top w:w="80" w:type="dxa"/>
              <w:start w:w="80" w:type="dxa"/>
              <w:bottom w:w="80" w:type="dxa"/>
              <w:end w:w="80" w:type="dxa"/>
            </w:tcMar>
          </w:tcPr>
          <w:p>
            <w:pPr>
              <w:jc w:val="center"/>
            </w:pPr>
            <w:r>
              <w:rPr>
                <w:rFonts w:ascii="Palatino Linotype" w:hAnsi="Palatino Linotype"/>
                <w:sz w:val="18"/>
              </w:rPr>
              <w:t>0.808</w:t>
            </w:r>
          </w:p>
        </w:tc>
        <w:tc>
          <w:tcPr>
            <w:tcW w:type="dxa" w:w="2093"/>
            <w:vAlign w:val="center"/>
            <w:tcMar>
              <w:top w:w="80" w:type="dxa"/>
              <w:start w:w="80" w:type="dxa"/>
              <w:bottom w:w="80" w:type="dxa"/>
              <w:end w:w="80" w:type="dxa"/>
            </w:tcMar>
          </w:tcPr>
          <w:p>
            <w:pPr>
              <w:jc w:val="center"/>
            </w:pPr>
            <w:r>
              <w:rPr>
                <w:rFonts w:ascii="Palatino Linotype" w:hAnsi="Palatino Linotype"/>
                <w:sz w:val="18"/>
              </w:rPr>
              <w:t>0.0745</w:t>
            </w:r>
          </w:p>
        </w:tc>
        <w:tc>
          <w:tcPr>
            <w:tcW w:type="dxa" w:w="2093"/>
            <w:vAlign w:val="center"/>
            <w:tcMar>
              <w:top w:w="80" w:type="dxa"/>
              <w:start w:w="80" w:type="dxa"/>
              <w:bottom w:w="80" w:type="dxa"/>
              <w:end w:w="80" w:type="dxa"/>
            </w:tcMar>
          </w:tcPr>
          <w:p>
            <w:pPr>
              <w:jc w:val="center"/>
            </w:pPr>
            <w:r>
              <w:rPr>
                <w:rFonts w:ascii="Palatino Linotype" w:hAnsi="Palatino Linotype"/>
                <w:sz w:val="18"/>
              </w:rPr>
              <w:t>0.2680</w:t>
            </w:r>
          </w:p>
        </w:tc>
      </w:tr>
      <w:tr>
        <w:tc>
          <w:tcPr>
            <w:tcW w:type="dxa" w:w="2093"/>
            <w:vAlign w:val="center"/>
            <w:tcMar>
              <w:top w:w="80" w:type="dxa"/>
              <w:start w:w="80" w:type="dxa"/>
              <w:bottom w:w="80" w:type="dxa"/>
              <w:end w:w="80" w:type="dxa"/>
            </w:tcMar>
          </w:tcPr>
          <w:p>
            <w:r>
              <w:rPr>
                <w:rFonts w:ascii="Palatino Linotype" w:hAnsi="Palatino Linotype"/>
                <w:sz w:val="18"/>
              </w:rPr>
              <w:t>Spatial,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0.0878</w:t>
            </w:r>
          </w:p>
        </w:tc>
        <w:tc>
          <w:tcPr>
            <w:tcW w:type="dxa" w:w="2093"/>
            <w:vAlign w:val="center"/>
            <w:tcMar>
              <w:top w:w="80" w:type="dxa"/>
              <w:start w:w="80" w:type="dxa"/>
              <w:bottom w:w="80" w:type="dxa"/>
              <w:end w:w="80" w:type="dxa"/>
            </w:tcMar>
          </w:tcPr>
          <w:p>
            <w:pPr>
              <w:jc w:val="center"/>
            </w:pPr>
            <w:r>
              <w:rPr>
                <w:rFonts w:ascii="Palatino Linotype" w:hAnsi="Palatino Linotype"/>
                <w:sz w:val="18"/>
              </w:rPr>
              <w:t>0.605</w:t>
            </w:r>
          </w:p>
        </w:tc>
        <w:tc>
          <w:tcPr>
            <w:tcW w:type="dxa" w:w="2093"/>
            <w:vAlign w:val="center"/>
            <w:tcMar>
              <w:top w:w="80" w:type="dxa"/>
              <w:start w:w="80" w:type="dxa"/>
              <w:bottom w:w="80" w:type="dxa"/>
              <w:end w:w="80" w:type="dxa"/>
            </w:tcMar>
          </w:tcPr>
          <w:p>
            <w:pPr>
              <w:jc w:val="center"/>
            </w:pPr>
            <w:r>
              <w:rPr>
                <w:rFonts w:ascii="Palatino Linotype" w:hAnsi="Palatino Linotype"/>
                <w:sz w:val="18"/>
              </w:rPr>
              <w:t>0.0754</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0.0810</w:t>
            </w:r>
          </w:p>
        </w:tc>
        <w:tc>
          <w:tcPr>
            <w:tcW w:type="dxa" w:w="2093"/>
            <w:vAlign w:val="center"/>
            <w:tcMar>
              <w:top w:w="80" w:type="dxa"/>
              <w:start w:w="80" w:type="dxa"/>
              <w:bottom w:w="80" w:type="dxa"/>
              <w:end w:w="80" w:type="dxa"/>
            </w:tcMar>
          </w:tcPr>
          <w:p>
            <w:pPr>
              <w:jc w:val="center"/>
            </w:pPr>
            <w:r>
              <w:rPr>
                <w:rFonts w:ascii="Palatino Linotype" w:hAnsi="Palatino Linotype"/>
                <w:sz w:val="18"/>
              </w:rPr>
              <w:t>0.603</w:t>
            </w:r>
          </w:p>
        </w:tc>
        <w:tc>
          <w:tcPr>
            <w:tcW w:type="dxa" w:w="2093"/>
            <w:vAlign w:val="center"/>
            <w:tcMar>
              <w:top w:w="80" w:type="dxa"/>
              <w:start w:w="80" w:type="dxa"/>
              <w:bottom w:w="80" w:type="dxa"/>
              <w:end w:w="80" w:type="dxa"/>
            </w:tcMar>
          </w:tcPr>
          <w:p>
            <w:pPr>
              <w:jc w:val="center"/>
            </w:pPr>
            <w:r>
              <w:rPr>
                <w:rFonts w:ascii="Palatino Linotype" w:hAnsi="Palatino Linotype"/>
                <w:sz w:val="18"/>
              </w:rPr>
              <w:t>0.0753</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0.0827</w:t>
            </w:r>
          </w:p>
        </w:tc>
        <w:tc>
          <w:tcPr>
            <w:tcW w:type="dxa" w:w="2093"/>
            <w:vAlign w:val="center"/>
            <w:tcMar>
              <w:top w:w="80" w:type="dxa"/>
              <w:start w:w="80" w:type="dxa"/>
              <w:bottom w:w="80" w:type="dxa"/>
              <w:end w:w="80" w:type="dxa"/>
            </w:tcMar>
          </w:tcPr>
          <w:p>
            <w:pPr>
              <w:jc w:val="center"/>
            </w:pPr>
            <w:r>
              <w:rPr>
                <w:rFonts w:ascii="Palatino Linotype" w:hAnsi="Palatino Linotype"/>
                <w:sz w:val="18"/>
              </w:rPr>
              <w:t>0.811</w:t>
            </w:r>
          </w:p>
        </w:tc>
        <w:tc>
          <w:tcPr>
            <w:tcW w:type="dxa" w:w="2093"/>
            <w:vAlign w:val="center"/>
            <w:tcMar>
              <w:top w:w="80" w:type="dxa"/>
              <w:start w:w="80" w:type="dxa"/>
              <w:bottom w:w="80" w:type="dxa"/>
              <w:end w:w="80" w:type="dxa"/>
            </w:tcMar>
          </w:tcPr>
          <w:p>
            <w:pPr>
              <w:jc w:val="center"/>
            </w:pPr>
            <w:r>
              <w:rPr>
                <w:rFonts w:ascii="Palatino Linotype" w:hAnsi="Palatino Linotype"/>
                <w:sz w:val="18"/>
              </w:rPr>
              <w:t>0.0740</w:t>
            </w:r>
          </w:p>
        </w:tc>
        <w:tc>
          <w:tcPr>
            <w:tcW w:type="dxa" w:w="2093"/>
            <w:vAlign w:val="center"/>
            <w:tcMar>
              <w:top w:w="80" w:type="dxa"/>
              <w:start w:w="80" w:type="dxa"/>
              <w:bottom w:w="80" w:type="dxa"/>
              <w:end w:w="80" w:type="dxa"/>
            </w:tcMar>
          </w:tcPr>
          <w:p>
            <w:pPr>
              <w:jc w:val="center"/>
            </w:pPr>
            <w:r>
              <w:rPr>
                <w:rFonts w:ascii="Palatino Linotype" w:hAnsi="Palatino Linotype"/>
                <w:sz w:val="18"/>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jc w:val="center"/>
      </w:pPr>
      <w:r>
        <w:rPr>
          <w:lang w:val="en-GB"/>
        </w:rPr>
        <w:drawing>
          <wp:inline xmlns:a="http://schemas.openxmlformats.org/drawingml/2006/main">
            <wp:extent cx="6080760" cy="2396810"/>
            <wp:docPr id="4" name="Picture 4" descr="Eight-bin calibration plots comparing uncalibrated and training-only recalibrated predictions" title="Eight-bin calibration plots comparing uncalibrated and training-only recalibrate"/>
            <wp:cNvGraphicFramePr>
              <a:graphicFrameLocks noChangeAspect="1"/>
            </wp:cNvGraphicFramePr>
            <a:graphic>
              <a:graphicData uri="http://schemas.openxmlformats.org/drawingml/2006/picture">
                <pic:pic>
                  <pic:nvPicPr>
                    <pic:cNvPr id="0" name="rId30.png"/>
                    <pic:cNvPicPr/>
                  </pic:nvPicPr>
                  <pic:blipFill>
                    <a:blip r:embed="rId19"/>
                    <a:stretch>
                      <a:fillRect/>
                    </a:stretch>
                  </pic:blipFill>
                  <pic:spPr>
                    <a:xfrm>
                      <a:off x="0" y="0"/>
                      <a:ext cx="6080760" cy="2396810"/>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rPr>
          <w:lang w:val="en-GB"/>
        </w:rPr>
        <w:t>Outcome events were not distributed evenly across the dentition. All 83 events in the analysis cohort occurred in the eight primary molar positions (T54, T55, T64, T65, T74, T75, T84, T85); the 181 anterior-tooth transitions contributed no events (Table 4, Figure 4). Position-specific event fractions ranged from 0.028 to 0.165, with the highest values in second primary molars and first molars. Because anterior teeth have an event fraction of exactly zero in this cohort, tooth_position separates a structurally risk-free subpopulation from the remainder rather than merely adjusting for nuisance variation. This is a property of the source data, not a modelling artefact, and it has three consequences for interpretation.</w:t>
      </w:r>
    </w:p>
    <w:p>
      <w:pPr>
        <w:pStyle w:val="MDPI31text"/>
      </w:pPr>
      <w:r>
        <w:rPr>
          <w:lang w:val="en-GB"/>
        </w:rPr>
        <w:t>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MDPI31text"/>
      </w:pPr>
      <w:r>
        <w:rPr>
          <w:lang w:val="en-GB"/>
        </w:rPr>
        <w:t>Third, the zero-event anterior subgroup makes tooth position a strong structural discriminator in this cohort. Consequently, any apparent performance that depends on this distribution may deteriorate in populations with anterior-tooth caries. This feature should therefore be examined explicitly during external validation and should not be interpreted as evidence that anterior teeth are intrinsically risk-free.</w:t>
      </w:r>
    </w:p>
    <w:p>
      <w:pPr>
        <w:pStyle w:val="MDPI32textnoindent"/>
        <w:jc w:val="center"/>
      </w:pPr>
      <w:r>
        <w:rPr>
          <w:lang w:val="en-GB"/>
        </w:rPr>
        <w:drawing>
          <wp:inline xmlns:a="http://schemas.openxmlformats.org/drawingml/2006/main">
            <wp:extent cx="6080760" cy="4402105"/>
            <wp:docPr id="5" name="Picture 5" descr="Tooth-position distribution of transitions and healthy-to-carious events" title="Tooth-position distribution of transitions and healthy-to-carious events"/>
            <wp:cNvGraphicFramePr>
              <a:graphicFrameLocks noChangeAspect="1"/>
            </wp:cNvGraphicFramePr>
            <a:graphic>
              <a:graphicData uri="http://schemas.openxmlformats.org/drawingml/2006/picture">
                <pic:pic>
                  <pic:nvPicPr>
                    <pic:cNvPr id="0" name="rId34.png"/>
                    <pic:cNvPicPr/>
                  </pic:nvPicPr>
                  <pic:blipFill>
                    <a:blip r:embed="rId20"/>
                    <a:stretch>
                      <a:fillRect/>
                    </a:stretch>
                  </pic:blipFill>
                  <pic:spPr>
                    <a:xfrm>
                      <a:off x="0" y="0"/>
                      <a:ext cx="6080760" cy="4402105"/>
                    </a:xfrm>
                    <a:prstGeom prst="rect"/>
                  </pic:spPr>
                </pic:pic>
              </a:graphicData>
            </a:graphic>
          </wp:inline>
        </w:drawing>
      </w:r>
    </w:p>
    <w:p>
      <w:pPr>
        <w:pStyle w:val="MDPI51figurecaption"/>
        <w:keepNext/>
      </w:pPr>
      <w:r>
        <w:rPr>
          <w:lang w:val="en-GB"/>
        </w:rPr>
        <w:t>Figure 5. Distribution of training transitions and observed healthy-to-carious events by tooth position in the 996-transition analysis cohort. Panel (a) displays anatomically arranged primary-tooth positions, with marker size proportional to the number of transitions and fill representing the observed event fraction; positions with at least one event are outlined. Panel (b) shows the same positions in the source coordinate system. The figure represents tabular tooth-position data and not radiographic anatomy.</w:t>
      </w:r>
    </w:p>
    <w:p>
      <w:pPr>
        <w:pStyle w:val="MDPI41tablecaption"/>
        <w:keepNext/>
      </w:pPr>
      <w:r>
        <w:rPr>
          <w:lang w:val="en-GB"/>
        </w:rPr>
        <w:t>Table 4. Transition counts and observed event fractions by tooth position in the primary analysis cohort.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Tooth position</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Transitions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 fraction</w:t>
            </w:r>
          </w:p>
        </w:tc>
      </w:tr>
      <w:tr>
        <w:tc>
          <w:tcPr>
            <w:tcW w:type="dxa" w:w="2616"/>
            <w:vAlign w:val="center"/>
            <w:tcMar>
              <w:top w:w="80" w:type="dxa"/>
              <w:start w:w="80" w:type="dxa"/>
              <w:bottom w:w="80" w:type="dxa"/>
              <w:end w:w="80" w:type="dxa"/>
            </w:tcMar>
          </w:tcPr>
          <w:p>
            <w:r>
              <w:rPr>
                <w:rFonts w:ascii="Palatino Linotype" w:hAnsi="Palatino Linotype"/>
                <w:sz w:val="18"/>
              </w:rPr>
              <w:t>T51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T54</w:t>
            </w:r>
          </w:p>
        </w:tc>
        <w:tc>
          <w:tcPr>
            <w:tcW w:type="dxa" w:w="2616"/>
            <w:vAlign w:val="center"/>
            <w:tcMar>
              <w:top w:w="80" w:type="dxa"/>
              <w:start w:w="80" w:type="dxa"/>
              <w:bottom w:w="80" w:type="dxa"/>
              <w:end w:w="80" w:type="dxa"/>
            </w:tcMar>
          </w:tcPr>
          <w:p>
            <w:pPr>
              <w:jc w:val="center"/>
            </w:pPr>
            <w:r>
              <w:rPr>
                <w:rFonts w:ascii="Palatino Linotype" w:hAnsi="Palatino Linotype"/>
                <w:sz w:val="18"/>
              </w:rPr>
              <w:t>98</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0.031</w:t>
            </w:r>
          </w:p>
        </w:tc>
      </w:tr>
      <w:tr>
        <w:tc>
          <w:tcPr>
            <w:tcW w:type="dxa" w:w="2616"/>
            <w:vAlign w:val="center"/>
            <w:tcMar>
              <w:top w:w="80" w:type="dxa"/>
              <w:start w:w="80" w:type="dxa"/>
              <w:bottom w:w="80" w:type="dxa"/>
              <w:end w:w="80" w:type="dxa"/>
            </w:tcMar>
          </w:tcPr>
          <w:p>
            <w:r>
              <w:rPr>
                <w:rFonts w:ascii="Palatino Linotype" w:hAnsi="Palatino Linotype"/>
                <w:sz w:val="18"/>
              </w:rPr>
              <w:t>T55</w:t>
            </w:r>
          </w:p>
        </w:tc>
        <w:tc>
          <w:tcPr>
            <w:tcW w:type="dxa" w:w="2616"/>
            <w:vAlign w:val="center"/>
            <w:tcMar>
              <w:top w:w="80" w:type="dxa"/>
              <w:start w:w="80" w:type="dxa"/>
              <w:bottom w:w="80" w:type="dxa"/>
              <w:end w:w="80" w:type="dxa"/>
            </w:tcMar>
          </w:tcPr>
          <w:p>
            <w:pPr>
              <w:jc w:val="center"/>
            </w:pPr>
            <w:r>
              <w:rPr>
                <w:rFonts w:ascii="Palatino Linotype" w:hAnsi="Palatino Linotype"/>
                <w:sz w:val="18"/>
              </w:rPr>
              <w:t>122</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0.115</w:t>
            </w:r>
          </w:p>
        </w:tc>
      </w:tr>
      <w:tr>
        <w:tc>
          <w:tcPr>
            <w:tcW w:type="dxa" w:w="2616"/>
            <w:vAlign w:val="center"/>
            <w:tcMar>
              <w:top w:w="80" w:type="dxa"/>
              <w:start w:w="80" w:type="dxa"/>
              <w:bottom w:w="80" w:type="dxa"/>
              <w:end w:w="80" w:type="dxa"/>
            </w:tcMar>
          </w:tcPr>
          <w:p>
            <w:r>
              <w:rPr>
                <w:rFonts w:ascii="Palatino Linotype" w:hAnsi="Palatino Linotype"/>
                <w:sz w:val="18"/>
              </w:rPr>
              <w:t>T61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T64</w:t>
            </w:r>
          </w:p>
        </w:tc>
        <w:tc>
          <w:tcPr>
            <w:tcW w:type="dxa" w:w="2616"/>
            <w:vAlign w:val="center"/>
            <w:tcMar>
              <w:top w:w="80" w:type="dxa"/>
              <w:start w:w="80" w:type="dxa"/>
              <w:bottom w:w="80" w:type="dxa"/>
              <w:end w:w="80" w:type="dxa"/>
            </w:tcMar>
          </w:tcPr>
          <w:p>
            <w:pPr>
              <w:jc w:val="center"/>
            </w:pPr>
            <w:r>
              <w:rPr>
                <w:rFonts w:ascii="Palatino Linotype" w:hAnsi="Palatino Linotype"/>
                <w:sz w:val="18"/>
              </w:rPr>
              <w:t>106</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0.028</w:t>
            </w:r>
          </w:p>
        </w:tc>
      </w:tr>
      <w:tr>
        <w:tc>
          <w:tcPr>
            <w:tcW w:type="dxa" w:w="2616"/>
            <w:vAlign w:val="center"/>
            <w:tcMar>
              <w:top w:w="80" w:type="dxa"/>
              <w:start w:w="80" w:type="dxa"/>
              <w:bottom w:w="80" w:type="dxa"/>
              <w:end w:w="80" w:type="dxa"/>
            </w:tcMar>
          </w:tcPr>
          <w:p>
            <w:r>
              <w:rPr>
                <w:rFonts w:ascii="Palatino Linotype" w:hAnsi="Palatino Linotype"/>
                <w:sz w:val="18"/>
              </w:rPr>
              <w:t>T65</w:t>
            </w:r>
          </w:p>
        </w:tc>
        <w:tc>
          <w:tcPr>
            <w:tcW w:type="dxa" w:w="2616"/>
            <w:vAlign w:val="center"/>
            <w:tcMar>
              <w:top w:w="80" w:type="dxa"/>
              <w:start w:w="80" w:type="dxa"/>
              <w:bottom w:w="80" w:type="dxa"/>
              <w:end w:w="80" w:type="dxa"/>
            </w:tcMar>
          </w:tcPr>
          <w:p>
            <w:pPr>
              <w:jc w:val="center"/>
            </w:pPr>
            <w:r>
              <w:rPr>
                <w:rFonts w:ascii="Palatino Linotype" w:hAnsi="Palatino Linotype"/>
                <w:sz w:val="18"/>
              </w:rPr>
              <w:t>119</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0.126</w:t>
            </w:r>
          </w:p>
        </w:tc>
      </w:tr>
      <w:tr>
        <w:tc>
          <w:tcPr>
            <w:tcW w:type="dxa" w:w="2616"/>
            <w:vAlign w:val="center"/>
            <w:tcMar>
              <w:top w:w="80" w:type="dxa"/>
              <w:start w:w="80" w:type="dxa"/>
              <w:bottom w:w="80" w:type="dxa"/>
              <w:end w:w="80" w:type="dxa"/>
            </w:tcMar>
          </w:tcPr>
          <w:p>
            <w:r>
              <w:rPr>
                <w:rFonts w:ascii="Palatino Linotype" w:hAnsi="Palatino Linotype"/>
                <w:sz w:val="18"/>
              </w:rPr>
              <w:t>T71</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T74</w:t>
            </w:r>
          </w:p>
        </w:tc>
        <w:tc>
          <w:tcPr>
            <w:tcW w:type="dxa" w:w="2616"/>
            <w:vAlign w:val="center"/>
            <w:tcMar>
              <w:top w:w="80" w:type="dxa"/>
              <w:start w:w="80" w:type="dxa"/>
              <w:bottom w:w="80" w:type="dxa"/>
              <w:end w:w="80" w:type="dxa"/>
            </w:tcMar>
          </w:tcPr>
          <w:p>
            <w:pPr>
              <w:jc w:val="center"/>
            </w:pPr>
            <w:r>
              <w:rPr>
                <w:rFonts w:ascii="Palatino Linotype" w:hAnsi="Palatino Linotype"/>
                <w:sz w:val="18"/>
              </w:rPr>
              <w:t>94</w:t>
            </w:r>
          </w:p>
        </w:tc>
        <w:tc>
          <w:tcPr>
            <w:tcW w:type="dxa" w:w="2616"/>
            <w:vAlign w:val="center"/>
            <w:tcMar>
              <w:top w:w="80" w:type="dxa"/>
              <w:start w:w="80" w:type="dxa"/>
              <w:bottom w:w="80" w:type="dxa"/>
              <w:end w:w="80" w:type="dxa"/>
            </w:tcMar>
          </w:tcPr>
          <w:p>
            <w:pPr>
              <w:jc w:val="center"/>
            </w:pPr>
            <w:r>
              <w:rPr>
                <w:rFonts w:ascii="Palatino Linotype" w:hAnsi="Palatino Linotype"/>
                <w:sz w:val="18"/>
              </w:rPr>
              <w:t>10</w:t>
            </w:r>
          </w:p>
        </w:tc>
        <w:tc>
          <w:tcPr>
            <w:tcW w:type="dxa" w:w="2616"/>
            <w:vAlign w:val="center"/>
            <w:tcMar>
              <w:top w:w="80" w:type="dxa"/>
              <w:start w:w="80" w:type="dxa"/>
              <w:bottom w:w="80" w:type="dxa"/>
              <w:end w:w="80" w:type="dxa"/>
            </w:tcMar>
          </w:tcPr>
          <w:p>
            <w:pPr>
              <w:jc w:val="center"/>
            </w:pPr>
            <w:r>
              <w:rPr>
                <w:rFonts w:ascii="Palatino Linotype" w:hAnsi="Palatino Linotype"/>
                <w:sz w:val="18"/>
              </w:rPr>
              <w:t>0.106</w:t>
            </w:r>
          </w:p>
        </w:tc>
      </w:tr>
      <w:tr>
        <w:tc>
          <w:tcPr>
            <w:tcW w:type="dxa" w:w="2616"/>
            <w:vAlign w:val="center"/>
            <w:tcMar>
              <w:top w:w="80" w:type="dxa"/>
              <w:start w:w="80" w:type="dxa"/>
              <w:bottom w:w="80" w:type="dxa"/>
              <w:end w:w="80" w:type="dxa"/>
            </w:tcMar>
          </w:tcPr>
          <w:p>
            <w:r>
              <w:rPr>
                <w:rFonts w:ascii="Palatino Linotype" w:hAnsi="Palatino Linotype"/>
                <w:sz w:val="18"/>
              </w:rPr>
              <w:t>T75</w:t>
            </w:r>
          </w:p>
        </w:tc>
        <w:tc>
          <w:tcPr>
            <w:tcW w:type="dxa" w:w="2616"/>
            <w:vAlign w:val="center"/>
            <w:tcMar>
              <w:top w:w="80" w:type="dxa"/>
              <w:start w:w="80" w:type="dxa"/>
              <w:bottom w:w="80" w:type="dxa"/>
              <w:end w:w="80" w:type="dxa"/>
            </w:tcMar>
          </w:tcPr>
          <w:p>
            <w:pPr>
              <w:jc w:val="center"/>
            </w:pPr>
            <w:r>
              <w:rPr>
                <w:rFonts w:ascii="Palatino Linotype" w:hAnsi="Palatino Linotype"/>
                <w:sz w:val="18"/>
              </w:rPr>
              <w:t>91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0.165</w:t>
            </w:r>
          </w:p>
        </w:tc>
      </w:tr>
      <w:tr>
        <w:tc>
          <w:tcPr>
            <w:tcW w:type="dxa" w:w="2616"/>
            <w:vAlign w:val="center"/>
            <w:tcMar>
              <w:top w:w="80" w:type="dxa"/>
              <w:start w:w="80" w:type="dxa"/>
              <w:bottom w:w="80" w:type="dxa"/>
              <w:end w:w="80" w:type="dxa"/>
            </w:tcMar>
          </w:tcPr>
          <w:p>
            <w:r>
              <w:rPr>
                <w:rFonts w:ascii="Palatino Linotype" w:hAnsi="Palatino Linotype"/>
                <w:sz w:val="18"/>
              </w:rPr>
              <w:t>T81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T84</w:t>
            </w:r>
          </w:p>
        </w:tc>
        <w:tc>
          <w:tcPr>
            <w:tcW w:type="dxa" w:w="2616"/>
            <w:vAlign w:val="center"/>
            <w:tcMar>
              <w:top w:w="80" w:type="dxa"/>
              <w:start w:w="80" w:type="dxa"/>
              <w:bottom w:w="80" w:type="dxa"/>
              <w:end w:w="80" w:type="dxa"/>
            </w:tcMar>
          </w:tcPr>
          <w:p>
            <w:pPr>
              <w:jc w:val="center"/>
            </w:pPr>
            <w:r>
              <w:rPr>
                <w:rFonts w:ascii="Palatino Linotype" w:hAnsi="Palatino Linotype"/>
                <w:sz w:val="18"/>
              </w:rPr>
              <w:t>88</w:t>
            </w:r>
          </w:p>
        </w:tc>
        <w:tc>
          <w:tcPr>
            <w:tcW w:type="dxa" w:w="2616"/>
            <w:vAlign w:val="center"/>
            <w:tcMar>
              <w:top w:w="80" w:type="dxa"/>
              <w:start w:w="80" w:type="dxa"/>
              <w:bottom w:w="80" w:type="dxa"/>
              <w:end w:w="80" w:type="dxa"/>
            </w:tcMar>
          </w:tcPr>
          <w:p>
            <w:pPr>
              <w:jc w:val="center"/>
            </w:pPr>
            <w:r>
              <w:rPr>
                <w:rFonts w:ascii="Palatino Linotype" w:hAnsi="Palatino Linotype"/>
                <w:sz w:val="18"/>
              </w:rPr>
              <w:t>8</w:t>
            </w:r>
          </w:p>
        </w:tc>
        <w:tc>
          <w:tcPr>
            <w:tcW w:type="dxa" w:w="2616"/>
            <w:vAlign w:val="center"/>
            <w:tcMar>
              <w:top w:w="80" w:type="dxa"/>
              <w:start w:w="80" w:type="dxa"/>
              <w:bottom w:w="80" w:type="dxa"/>
              <w:end w:w="80" w:type="dxa"/>
            </w:tcMar>
          </w:tcPr>
          <w:p>
            <w:pPr>
              <w:jc w:val="center"/>
            </w:pPr>
            <w:r>
              <w:rPr>
                <w:rFonts w:ascii="Palatino Linotype" w:hAnsi="Palatino Linotype"/>
                <w:sz w:val="18"/>
              </w:rPr>
              <w:t>0.091</w:t>
            </w:r>
          </w:p>
        </w:tc>
      </w:tr>
      <w:tr>
        <w:tc>
          <w:tcPr>
            <w:tcW w:type="dxa" w:w="2616"/>
            <w:vAlign w:val="center"/>
            <w:tcMar>
              <w:top w:w="80" w:type="dxa"/>
              <w:start w:w="80" w:type="dxa"/>
              <w:bottom w:w="80" w:type="dxa"/>
              <w:end w:w="80" w:type="dxa"/>
            </w:tcMar>
          </w:tcPr>
          <w:p>
            <w:r>
              <w:rPr>
                <w:rFonts w:ascii="Palatino Linotype" w:hAnsi="Palatino Linotype"/>
                <w:sz w:val="18"/>
              </w:rPr>
              <w:t>T85</w:t>
            </w:r>
          </w:p>
        </w:tc>
        <w:tc>
          <w:tcPr>
            <w:tcW w:type="dxa" w:w="2616"/>
            <w:vAlign w:val="center"/>
            <w:tcMar>
              <w:top w:w="80" w:type="dxa"/>
              <w:start w:w="80" w:type="dxa"/>
              <w:bottom w:w="80" w:type="dxa"/>
              <w:end w:w="80" w:type="dxa"/>
            </w:tcMar>
          </w:tcPr>
          <w:p>
            <w:pPr>
              <w:jc w:val="center"/>
            </w:pPr>
            <w:r>
              <w:rPr>
                <w:rFonts w:ascii="Palatino Linotype" w:hAnsi="Palatino Linotype"/>
                <w:sz w:val="18"/>
              </w:rPr>
              <w:t>97</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rPr>
          <w:lang w:val="en-GB"/>
        </w:rPr>
        <w:t>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locked policy with a fixed seed.</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rPr>
          <w:lang w:val="en-GB"/>
        </w:rPr>
        <w:t>The analysis uses one public cohort and a modest number of children and events, with multiple teeth per child. The model was developed from only 83 outcome events for 24 effective degrees of freedom (3.46 events per parameter), indicating substantial sample-size constraint and potential overfitting; this ratio is descriptive rather than a formal sample-size criterion.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Locking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therefore must be pinned.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rPr>
          <w:lang w:val="en-GB"/>
        </w:rP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A version-locked primary model and a prespecified external-validation framework now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rPr>
          <w:b/>
          <w:lang w:val="en-GB"/>
        </w:rPr>
        <w:t xml:space="preserve">Supplementary Materials: </w:t>
      </w:r>
      <w:r>
        <w:rPr>
          <w:lang w:val="en-GB"/>
        </w:rPr>
        <w:t>Supplementary File S1 contains the detailed evidence-aware architecture; Supplementary File S2 documents the synthetic-notebook audit, rerun discrepancy, and validation limits; Supplementary File S3 maps reporting to TRIPOD+AI; Supplementary File S4 provides the internal PROBAST+AI appraisal. Reproducibility materials should include the verified analysis script, split assignments, aggregate outputs, source-file digest, and version-locked inference artifact.</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rPr>
          <w:b/>
          <w:lang w:val="en-GB"/>
        </w:rPr>
        <w:t xml:space="preserve">Data Availability Statement: </w:t>
      </w:r>
      <w:r>
        <w:rPr>
          <w:lang w:val="en-GB"/>
        </w:rPr>
        <w:t>The analysis used the public all_metadata worksheet released with Yang et al. [1]. The exact source file analysed was pinned by commit identifier e5868fe5 and SHA-256 b7819fee81efbe2e227b7700c3cd86ce8bc6f7fe6f49da6214f4107d099184fa. The clinical reconstruction and analysis code, aggregate outputs, figure scripts, and version-locked inference artifact should be deposited in a permanent public repository before publication. Third-party source records should be redistributed only if their original reuse terms permit it.</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tblW w:type="auto" w:w="0"/>
        <w:jc w:val="center"/>
        <w:tblLayout w:type="autofit"/>
        <w:tblLook w:firstColumn="1" w:firstRow="1" w:lastColumn="0" w:lastRow="0" w:noHBand="0" w:noVBand="1" w:val="04A0"/>
      </w:tblPr>
      <w:tblGrid>
        <w:gridCol w:w="5233"/>
        <w:gridCol w:w="5233"/>
      </w:tblGrid>
      <w:tr>
        <w:trPr>
          <w:tblHeader w:val="true"/>
        </w:trPr>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Abbreviation</w:t>
            </w:r>
          </w:p>
        </w:tc>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Definition</w:t>
            </w:r>
          </w:p>
        </w:tc>
      </w:tr>
      <w:tr>
        <w:tc>
          <w:tcPr>
            <w:tcW w:type="dxa" w:w="5233"/>
            <w:vAlign w:val="center"/>
            <w:tcMar>
              <w:top w:w="80" w:type="dxa"/>
              <w:start w:w="80" w:type="dxa"/>
              <w:bottom w:w="80" w:type="dxa"/>
              <w:end w:w="80" w:type="dxa"/>
            </w:tcMar>
          </w:tcPr>
          <w:p>
            <w:r>
              <w:rPr>
                <w:rFonts w:ascii="Palatino Linotype" w:hAnsi="Palatino Linotype"/>
                <w:sz w:val="18"/>
              </w:rPr>
              <w:t>AUPRC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precision–recall curve</w:t>
            </w:r>
          </w:p>
        </w:tc>
      </w:tr>
      <w:tr>
        <w:tc>
          <w:tcPr>
            <w:tcW w:type="dxa" w:w="5233"/>
            <w:vAlign w:val="center"/>
            <w:tcMar>
              <w:top w:w="80" w:type="dxa"/>
              <w:start w:w="80" w:type="dxa"/>
              <w:bottom w:w="80" w:type="dxa"/>
              <w:end w:w="80" w:type="dxa"/>
            </w:tcMar>
          </w:tcPr>
          <w:p>
            <w:r>
              <w:rPr>
                <w:rFonts w:ascii="Palatino Linotype" w:hAnsi="Palatino Linotype"/>
                <w:sz w:val="18"/>
              </w:rPr>
              <w:t>AUROC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receiver-operating-characteristic curve</w:t>
            </w:r>
          </w:p>
        </w:tc>
      </w:tr>
      <w:tr>
        <w:tc>
          <w:tcPr>
            <w:tcW w:type="dxa" w:w="5233"/>
            <w:vAlign w:val="center"/>
            <w:tcMar>
              <w:top w:w="80" w:type="dxa"/>
              <w:start w:w="80" w:type="dxa"/>
              <w:bottom w:w="80" w:type="dxa"/>
              <w:end w:w="80" w:type="dxa"/>
            </w:tcMar>
          </w:tcPr>
          <w:p>
            <w:r>
              <w:rPr>
                <w:rFonts w:ascii="Palatino Linotype" w:hAnsi="Palatino Linotype"/>
                <w:sz w:val="18"/>
              </w:rPr>
              <w:t>ECC</w:t>
            </w:r>
          </w:p>
        </w:tc>
        <w:tc>
          <w:tcPr>
            <w:tcW w:type="dxa" w:w="5233"/>
            <w:vAlign w:val="center"/>
            <w:tcMar>
              <w:top w:w="80" w:type="dxa"/>
              <w:start w:w="80" w:type="dxa"/>
              <w:bottom w:w="80" w:type="dxa"/>
              <w:end w:w="80" w:type="dxa"/>
            </w:tcMar>
          </w:tcPr>
          <w:p>
            <w:pPr>
              <w:jc w:val="center"/>
            </w:pPr>
            <w:r>
              <w:rPr>
                <w:rFonts w:ascii="Palatino Linotype" w:hAnsi="Palatino Linotype"/>
                <w:sz w:val="18"/>
              </w:rPr>
              <w:t>Early-childhood caries</w:t>
            </w:r>
          </w:p>
        </w:tc>
      </w:tr>
      <w:tr>
        <w:tc>
          <w:tcPr>
            <w:tcW w:type="dxa" w:w="5233"/>
            <w:vAlign w:val="center"/>
            <w:tcMar>
              <w:top w:w="80" w:type="dxa"/>
              <w:start w:w="80" w:type="dxa"/>
              <w:bottom w:w="80" w:type="dxa"/>
              <w:end w:w="80" w:type="dxa"/>
            </w:tcMar>
          </w:tcPr>
          <w:p>
            <w:r>
              <w:rPr>
                <w:rFonts w:ascii="Palatino Linotype" w:hAnsi="Palatino Linotype"/>
                <w:sz w:val="18"/>
              </w:rPr>
              <w:t>FDI</w:t>
            </w:r>
          </w:p>
        </w:tc>
        <w:tc>
          <w:tcPr>
            <w:tcW w:type="dxa" w:w="5233"/>
            <w:vAlign w:val="center"/>
            <w:tcMar>
              <w:top w:w="80" w:type="dxa"/>
              <w:start w:w="80" w:type="dxa"/>
              <w:bottom w:w="80" w:type="dxa"/>
              <w:end w:w="80" w:type="dxa"/>
            </w:tcMar>
          </w:tcPr>
          <w:p>
            <w:pPr>
              <w:jc w:val="center"/>
            </w:pPr>
            <w:r>
              <w:rPr>
                <w:rFonts w:ascii="Palatino Linotype" w:hAnsi="Palatino Linotype"/>
                <w:sz w:val="18"/>
              </w:rPr>
              <w:t>Fédération Dentaire Internationale tooth notation</w:t>
            </w:r>
          </w:p>
        </w:tc>
      </w:tr>
      <w:tr>
        <w:tc>
          <w:tcPr>
            <w:tcW w:type="dxa" w:w="5233"/>
            <w:vAlign w:val="center"/>
            <w:tcMar>
              <w:top w:w="80" w:type="dxa"/>
              <w:start w:w="80" w:type="dxa"/>
              <w:bottom w:w="80" w:type="dxa"/>
              <w:end w:w="80" w:type="dxa"/>
            </w:tcMar>
          </w:tcPr>
          <w:p>
            <w:r>
              <w:rPr>
                <w:rFonts w:ascii="Palatino Linotype" w:hAnsi="Palatino Linotype"/>
                <w:sz w:val="18"/>
              </w:rPr>
              <w:t>OOF</w:t>
            </w:r>
          </w:p>
        </w:tc>
        <w:tc>
          <w:tcPr>
            <w:tcW w:type="dxa" w:w="5233"/>
            <w:vAlign w:val="center"/>
            <w:tcMar>
              <w:top w:w="80" w:type="dxa"/>
              <w:start w:w="80" w:type="dxa"/>
              <w:bottom w:w="80" w:type="dxa"/>
              <w:end w:w="80" w:type="dxa"/>
            </w:tcMar>
          </w:tcPr>
          <w:p>
            <w:pPr>
              <w:jc w:val="center"/>
            </w:pPr>
            <w:r>
              <w:rPr>
                <w:rFonts w:ascii="Palatino Linotype" w:hAnsi="Palatino Linotype"/>
                <w:sz w:val="18"/>
              </w:rPr>
              <w:t>Out-of-fold</w:t>
            </w:r>
          </w:p>
        </w:tc>
      </w:tr>
      <w:tr>
        <w:tc>
          <w:tcPr>
            <w:tcW w:type="dxa" w:w="5233"/>
            <w:vAlign w:val="center"/>
            <w:tcMar>
              <w:top w:w="80" w:type="dxa"/>
              <w:start w:w="80" w:type="dxa"/>
              <w:bottom w:w="80" w:type="dxa"/>
              <w:end w:w="80" w:type="dxa"/>
            </w:tcMar>
          </w:tcPr>
          <w:p>
            <w:r>
              <w:rPr>
                <w:rFonts w:ascii="Palatino Linotype" w:hAnsi="Palatino Linotype"/>
                <w:sz w:val="18"/>
              </w:rPr>
              <w:t>PROBAST+AI</w:t>
            </w:r>
          </w:p>
        </w:tc>
        <w:tc>
          <w:tcPr>
            <w:tcW w:type="dxa" w:w="5233"/>
            <w:vAlign w:val="center"/>
            <w:tcMar>
              <w:top w:w="80" w:type="dxa"/>
              <w:start w:w="80" w:type="dxa"/>
              <w:bottom w:w="80" w:type="dxa"/>
              <w:end w:w="80" w:type="dxa"/>
            </w:tcMar>
          </w:tcPr>
          <w:p>
            <w:pPr>
              <w:jc w:val="center"/>
            </w:pPr>
            <w:r>
              <w:rPr>
                <w:rFonts w:ascii="Palatino Linotype" w:hAnsi="Palatino Linotype"/>
                <w:sz w:val="18"/>
              </w:rPr>
              <w:t>Prediction model Risk Of Bias ASsessment Tool + AI</w:t>
            </w:r>
          </w:p>
        </w:tc>
      </w:tr>
      <w:tr>
        <w:tc>
          <w:tcPr>
            <w:tcW w:type="dxa" w:w="5233"/>
            <w:vAlign w:val="center"/>
            <w:tcMar>
              <w:top w:w="80" w:type="dxa"/>
              <w:start w:w="80" w:type="dxa"/>
              <w:bottom w:w="80" w:type="dxa"/>
              <w:end w:w="80" w:type="dxa"/>
            </w:tcMar>
          </w:tcPr>
          <w:p>
            <w:r>
              <w:rPr>
                <w:rFonts w:ascii="Palatino Linotype" w:hAnsi="Palatino Linotype"/>
                <w:sz w:val="18"/>
              </w:rPr>
              <w:t>TRIPOD+AI</w:t>
            </w:r>
          </w:p>
        </w:tc>
        <w:tc>
          <w:tcPr>
            <w:tcW w:type="dxa" w:w="5233"/>
            <w:vAlign w:val="center"/>
            <w:tcMar>
              <w:top w:w="80" w:type="dxa"/>
              <w:start w:w="80" w:type="dxa"/>
              <w:bottom w:w="80" w:type="dxa"/>
              <w:end w:w="80" w:type="dxa"/>
            </w:tcMar>
          </w:tcPr>
          <w:p>
            <w:pPr>
              <w:jc w:val="center"/>
            </w:pPr>
            <w:r>
              <w:rPr>
                <w:rFonts w:ascii="Palatino Linotype" w:hAnsi="Palatino Linotype"/>
                <w:sz w:val="18"/>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Toledo Reyes L, Knorst J, Ortiz F, et al. Early Childhood Predictors for Dental Caries: A Machine Learning Approach. Journal of Dental Research. 2023;102(9):999-1006. https://doi.org/10.1177/00220345231170535.</w:t>
      </w:r>
    </w:p>
    <w:p>
      <w:pPr>
        <w:pStyle w:val="MDPI81references"/>
      </w:pPr>
      <w:r>
        <w:rPr>
          <w:lang w:val="en-GB"/>
        </w:rPr>
        <w:t>Dashper SG, Mitchell HL, Lê Cao KA, et al. Temporal development of the oral microbiome and prediction of early childhood caries. Scientific Reports. 2019;9(1):19732. https://doi.org/10.1038/s41598-019-56233-0.</w:t>
      </w:r>
    </w:p>
    <w:p>
      <w:pPr>
        <w:pStyle w:val="MDPI81references"/>
      </w:pPr>
      <w:r>
        <w:rPr>
          <w:lang w:val="en-GB"/>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Martin B, Tamanai-Shacoori Z, Bronsard J, et al. A new mathematical model of bacterial interactions in two-species oral biofilms. PLOS ONE. 2017;12(3):e0173153. https://doi.org/10.1371/journal.pone.0173153.</w:t>
      </w:r>
    </w:p>
    <w:p>
      <w:pPr>
        <w:pStyle w:val="MDPI81references"/>
      </w:pPr>
      <w:r>
        <w:rPr>
          <w:lang w:val="en-GB"/>
        </w:rPr>
        <w:t>Varma S, Simon R. Bias in error estimation when using cross-validation for model selection. BMC Bioinformatics. 2006;7(1):91. https://doi.org/10.1186/1471-2105-7-91.</w:t>
      </w:r>
    </w:p>
    <w:p>
      <w:pPr>
        <w:pStyle w:val="MDPI81references"/>
      </w:pPr>
      <w:r>
        <w:rPr>
          <w:lang w:val="en-GB"/>
        </w:rPr>
        <w:t>Rosenblatt M, Tejavibulya L, Jiang R, et al. Data leakage inflates prediction performance in connectome-based machine learning models. Nature Communications. 2024;15(1):1829. https://doi.org/10.1038/s41467-024-46150-w.</w:t>
      </w:r>
    </w:p>
    <w:p>
      <w:pPr>
        <w:pStyle w:val="MDPI81references"/>
      </w:pPr>
      <w:r>
        <w:rPr>
          <w:lang w:val="en-GB"/>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Teng F, Yang F, Huang S, et al. Prediction of Early Childhood Caries via Spatial-Temporal Variations of Oral Microbiota. Cell Host &amp; Microbe. 2015;18(3):296-306. https://doi.org/10.1016/j.chom.2015.08.005.</w:t>
      </w:r>
    </w:p>
    <w:p>
      <w:pPr>
        <w:pStyle w:val="MDPI81references"/>
      </w:pPr>
      <w:r>
        <w:rPr>
          <w:lang w:val="en-GB"/>
        </w:rPr>
        <w:t>Grier A, Myers J, O’Connor T, et al. Oral Microbiota Composition Predicts Early Childhood Caries Onset. Journal of Dental Research. 2021;100(6):599-607. https://doi.org/10.1177/0022034520979926.</w:t>
      </w:r>
    </w:p>
    <w:p>
      <w:pPr>
        <w:pStyle w:val="MDPI81references"/>
      </w:pPr>
      <w:r>
        <w:rPr>
          <w:lang w:val="en-GB"/>
        </w:rPr>
        <w:t>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Gloor GB, Macklaim JM, Pawlowsky-Glahn V, et al. Microbiome Datasets Are Compositional: And This Is Not Optional. Frontiers in Microbiology. 2017;8:2224. https://doi.org/10.3389/fmicb.2017.02224.</w:t>
      </w:r>
    </w:p>
    <w:p>
      <w:pPr>
        <w:pStyle w:val="MDPI81references"/>
      </w:pPr>
      <w:r>
        <w:rPr>
          <w:lang w:val="en-GB"/>
        </w:rPr>
        <w:t>Quinn TP, Erb I, Gloor G, et al. A field guide for the compositional analysis of any-omics data. GigaScience. 2019;8(9):giz107. https://doi.org/10.1093/gigascience/giz107.</w:t>
      </w:r>
    </w:p>
    <w:p>
      <w:pPr>
        <w:pStyle w:val="MDPI81references"/>
      </w:pPr>
      <w:r>
        <w:rPr>
          <w:lang w:val="en-GB"/>
        </w:rPr>
        <w:t>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Richardson E, Trevizani R, Greenbaum JA, et al. The receiver operating characteristic curve accurately assesses imbalanced datasets. Patterns. 2024;5(6):100994. https://doi.org/10.1016/j.patter.2024.100994.</w:t>
      </w:r>
    </w:p>
    <w:p>
      <w:pPr>
        <w:pStyle w:val="MDPI81references"/>
      </w:pPr>
      <w:r>
        <w:rPr>
          <w:lang w:val="en-GB"/>
        </w:rPr>
        <w:t>Van Calster B, McLernon DJ, van Smeden M, et al. Calibration: the Achilles heel of predictive analytics. BMC Medicine. 2019;17(1):230. https://doi.org/10.1186/s12916-019-1466-7.</w:t>
      </w:r>
    </w:p>
    <w:p>
      <w:pPr>
        <w:pStyle w:val="MDPI81references"/>
      </w:pPr>
      <w:r>
        <w:rPr>
          <w:lang w:val="en-GB"/>
        </w:rPr>
        <w:t>Collins GS, Dhiman P, Ma J, et al. Evaluation of clinical prediction models (part 1): from development to external validation. BMJ. 2024;384:e074819. https://doi.org/10.1136/bmj-2023-074819.</w:t>
      </w:r>
    </w:p>
    <w:p>
      <w:pPr>
        <w:pStyle w:val="MDPI81references"/>
      </w:pPr>
      <w:r>
        <w:rPr>
          <w:lang w:val="en-GB"/>
        </w:rPr>
        <w:t>Riley RD, Archer L, Snell KIE, et al. Evaluation of clinical prediction models (part 2): how to undertake an external validation study. BMJ. 2024;384:e074820. https://doi.org/10.1136/bmj-2023-074820.</w:t>
      </w:r>
    </w:p>
    <w:p>
      <w:pPr>
        <w:pStyle w:val="MDPI81references"/>
      </w:pPr>
      <w:r>
        <w:rPr>
          <w:lang w:val="en-GB"/>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Wolff RF, Moons KG, Riley RD, et al. PROBAST: A Tool to Assess the Risk of Bias and Applicability of Prediction Model Studies. Annals of Internal Medicine. 2019;170(1):51-58. https://doi.org/10.7326/M18-1376.</w:t>
      </w:r>
    </w:p>
    <w:p>
      <w:pPr>
        <w:pStyle w:val="MDPI81references"/>
      </w:pPr>
      <w:r>
        <w:rPr>
          <w:lang w:val="en-GB"/>
        </w:rPr>
        <w:t>Vickers AJ, Elkin EB. Decision Curve Analysis: A Novel Method for Evaluating Prediction Models. Medical Decision Making. 2006;26(6):565-574. https://doi.org/10.1177/0272989X06295361.</w:t>
      </w:r>
    </w:p>
    <w:p>
      <w:pPr>
        <w:pStyle w:val="MDPI81references"/>
      </w:pPr>
      <w:r>
        <w:rPr>
          <w:lang w:val="en-GB"/>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