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version-frozen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frozen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version-frozen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spacing w:before="0"/>
        <w:ind w:left="0" w:right="0" w:firstLine="0"/>
        <w:jc w:val="center"/>
      </w:pPr>
      <w:r>
        <w:rPr>
          <w:lang w:val="en-GB"/>
        </w:rPr>
        <w:drawing>
          <wp:inline xmlns:a="http://schemas.openxmlformats.org/drawingml/2006/main">
            <wp:extent cx="5303520" cy="4242816"/>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frozen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Version-Frozen Model and Prespecified External Validation Framework</w:t>
      </w:r>
    </w:p>
    <w:p>
      <w:pPr>
        <w:pStyle w:val="MDPI31text"/>
      </w:pPr>
      <w:r>
        <w:rPr>
          <w:lang w:val="en-GB"/>
        </w:rPr>
        <w:t>A final research artifact was version-frozen before any external dataset was available so that subsequent external evaluation can apply the same preprocessing, coefficients, and probability transformation without post hoc modification. Freezing an artifact does not constitute validation and does not justify clinical deployment. The freeze was retrospective: it followed inspection of the development results and did not constitute prospective model prespecification. Throughout this manuscript, version-frozen means only that the artifact, its recorded hash, and its inference settings will not change before external scoring; it does not mean that the model was selected without reference to the development data. Because both the regularisation value and the recalibration form were selected using the development cohort, the artifact is an exploratory model frozen for reproducibility and audit, and its apparent performance must not be reported as independent performance.</w:t>
      </w:r>
    </w:p>
    <w:p>
      <w:pPr>
        <w:pStyle w:val="MDPI31text"/>
      </w:pPr>
      <w:r>
        <w:rPr>
          <w:lang w:val="en-GB"/>
        </w:rPr>
        <w:t>Primary model. The designated primary model for external evaluation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designated as a secondary exploratory candidate and must not be deployed until its derived predictors are reconstructed and verified.</w:t>
      </w:r>
    </w:p>
    <w:p>
      <w:pPr>
        <w:pStyle w:val="MDPI31text"/>
      </w:pPr>
      <w:r>
        <w:rPr>
          <w:lang w:val="en-GB"/>
        </w:rPr>
        <w:t>Freezing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freezing: 996 transitions, 83 events, and 81 children, with a hard abort on any divergence. The published bundle records the source SHA-256, the seed, Python and library versions, the freeze timestamp, and its own SHA-256, so that an external centre scores exactly this artifact.</w:t>
      </w:r>
    </w:p>
    <w:p>
      <w:pPr>
        <w:pStyle w:val="MDPI31text"/>
      </w:pPr>
      <w:r>
        <w:rPr>
          <w:lang w:val="en-GB"/>
        </w:rPr>
        <w:t>Honest reporting of the frozen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frozen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spacing w:before="0"/>
        <w:ind w:left="0" w:right="0" w:firstLine="0"/>
        <w:jc w:val="center"/>
      </w:pPr>
      <w:r>
        <w:rPr>
          <w:lang w:val="en-GB"/>
        </w:rPr>
        <w:drawing>
          <wp:inline xmlns:a="http://schemas.openxmlformats.org/drawingml/2006/main">
            <wp:extent cx="5303520" cy="660154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03520" cy="660154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spacing w:before="0"/>
        <w:ind w:left="0" w:right="0" w:firstLine="0"/>
        <w:jc w:val="center"/>
      </w:pPr>
      <w:r>
        <w:rPr>
          <w:lang w:val="en-GB"/>
        </w:rPr>
        <w:drawing>
          <wp:inline xmlns:a="http://schemas.openxmlformats.org/drawingml/2006/main">
            <wp:extent cx="5303520" cy="2090115"/>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5303520" cy="2090115"/>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spacing w:before="0"/>
        <w:ind w:left="0" w:right="0" w:firstLine="0"/>
        <w:jc w:val="center"/>
      </w:pPr>
      <w:r>
        <w:rPr>
          <w:lang w:val="en-GB"/>
        </w:rPr>
        <w:drawing>
          <wp:inline xmlns:a="http://schemas.openxmlformats.org/drawingml/2006/main">
            <wp:extent cx="5303520" cy="209045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5303520" cy="209045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spacing w:before="0"/>
        <w:ind w:left="0" w:right="0" w:firstLine="0"/>
        <w:jc w:val="center"/>
      </w:pPr>
      <w:r>
        <w:rPr>
          <w:lang w:val="en-GB"/>
        </w:rPr>
        <w:drawing>
          <wp:inline xmlns:a="http://schemas.openxmlformats.org/drawingml/2006/main">
            <wp:extent cx="5303520" cy="3839429"/>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5303520" cy="3839429"/>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frozen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prospectively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frozen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Freezing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version-frozen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version-frozen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version-frozen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[1] 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[2] Toledo Reyes L, Knorst J, Ortiz F, et al. Early Childhood Predictors for Dental Caries: A Machine Learning Approach. Journal of Dental Research. 2023;102(9):999-1006. https://doi.org/10.1177/00220345231170535.</w:t>
      </w:r>
    </w:p>
    <w:p>
      <w:pPr>
        <w:pStyle w:val="MDPI81references"/>
      </w:pPr>
      <w:r>
        <w:rPr>
          <w:lang w:val="en-GB"/>
        </w:rPr>
        <w:t>[3] Dashper SG, Mitchell HL, Lê Cao KA, et al. Temporal development of the oral microbiome and prediction of early childhood caries. Scientific Reports. 2019;9(1):19732. https://doi.org/10.1038/s41598-019-56233-0.</w:t>
      </w:r>
    </w:p>
    <w:p>
      <w:pPr>
        <w:pStyle w:val="MDPI81references"/>
      </w:pPr>
      <w:r>
        <w:rPr>
          <w:lang w:val="en-GB"/>
        </w:rPr>
        <w:t>[4] 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[5] 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[6] 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[7] Martin B, Tamanai-Shacoori Z, Bronsard J, et al. A new mathematical model of bacterial interactions in two-species oral biofilms. PLOS ONE. 2017;12(3):e0173153. https://doi.org/10.1371/journal.pone.0173153.</w:t>
      </w:r>
    </w:p>
    <w:p>
      <w:pPr>
        <w:pStyle w:val="MDPI81references"/>
      </w:pPr>
      <w:r>
        <w:rPr>
          <w:lang w:val="en-GB"/>
        </w:rPr>
        <w:t>[8] Varma S, Simon R. Bias in error estimation when using cross-validation for model selection. BMC Bioinformatics. 2006;7(1):91. https://doi.org/10.1186/1471-2105-7-91.</w:t>
      </w:r>
    </w:p>
    <w:p>
      <w:pPr>
        <w:pStyle w:val="MDPI81references"/>
      </w:pPr>
      <w:r>
        <w:rPr>
          <w:lang w:val="en-GB"/>
        </w:rPr>
        <w:t>[9] Rosenblatt M, Tejavibulya L, Jiang R, et al. Data leakage inflates prediction performance in connectome-based machine learning models. Nature Communications. 2024;15(1):1829. https://doi.org/10.1038/s41467-024-46150-w.</w:t>
      </w:r>
    </w:p>
    <w:p>
      <w:pPr>
        <w:pStyle w:val="MDPI81references"/>
      </w:pPr>
      <w:r>
        <w:rPr>
          <w:lang w:val="en-GB"/>
        </w:rPr>
        <w:t>[10] 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[11] 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[12] Teng F, Yang F, Huang S, et al. Prediction of Early Childhood Caries via Spatial-Temporal Variations of Oral Microbiota. Cell Host &amp; Microbe. 2015;18(3):296-306. https://doi.org/10.1016/j.chom.2015.08.005.</w:t>
      </w:r>
    </w:p>
    <w:p>
      <w:pPr>
        <w:pStyle w:val="MDPI81references"/>
      </w:pPr>
      <w:r>
        <w:rPr>
          <w:lang w:val="en-GB"/>
        </w:rPr>
        <w:t>[13] Grier A, Myers J, O’Connor T, et al. Oral Microbiota Composition Predicts Early Childhood Caries Onset. Journal of Dental Research. 2021;100(6):599-607. https://doi.org/10.1177/0022034520979926.</w:t>
      </w:r>
    </w:p>
    <w:p>
      <w:pPr>
        <w:pStyle w:val="MDPI81references"/>
      </w:pPr>
      <w:r>
        <w:rPr>
          <w:lang w:val="en-GB"/>
        </w:rPr>
        <w:t>[14] 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[15] 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[16] Gloor GB, Macklaim JM, Pawlowsky-Glahn V, et al. Microbiome Datasets Are Compositional: And This Is Not Optional. Frontiers in Microbiology. 2017;8:2224. https://doi.org/10.3389/fmicb.2017.02224.</w:t>
      </w:r>
    </w:p>
    <w:p>
      <w:pPr>
        <w:pStyle w:val="MDPI81references"/>
      </w:pPr>
      <w:r>
        <w:rPr>
          <w:lang w:val="en-GB"/>
        </w:rPr>
        <w:t>[17] Quinn TP, Erb I, Gloor G, et al. A field guide for the compositional analysis of any-omics data. GigaScience. 2019;8(9):giz107. https://doi.org/10.1093/gigascience/giz107.</w:t>
      </w:r>
    </w:p>
    <w:p>
      <w:pPr>
        <w:pStyle w:val="MDPI81references"/>
      </w:pPr>
      <w:r>
        <w:rPr>
          <w:lang w:val="en-GB"/>
        </w:rPr>
        <w:t>[18] 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[19] Richardson E, Trevizani R, Greenbaum JA, et al. The receiver operating characteristic curve accurately assesses imbalanced datasets. Patterns. 2024;5(6):100994. https://doi.org/10.1016/j.patter.2024.100994.</w:t>
      </w:r>
    </w:p>
    <w:p>
      <w:pPr>
        <w:pStyle w:val="MDPI81references"/>
      </w:pPr>
      <w:r>
        <w:rPr>
          <w:lang w:val="en-GB"/>
        </w:rPr>
        <w:t>[20] Van Calster B, McLernon DJ, van Smeden M, et al. Calibration: the Achilles heel of predictive analytics. BMC Medicine. 2019;17(1):230. https://doi.org/10.1186/s12916-019-1466-7.</w:t>
      </w:r>
    </w:p>
    <w:p>
      <w:pPr>
        <w:pStyle w:val="MDPI81references"/>
      </w:pPr>
      <w:r>
        <w:rPr>
          <w:lang w:val="en-GB"/>
        </w:rPr>
        <w:t>[21] Collins GS, Dhiman P, Ma J, et al. Evaluation of clinical prediction models (part 1): from development to external validation. BMJ. 2024;384:e074819. https://doi.org/10.1136/bmj-2023-074819.</w:t>
      </w:r>
    </w:p>
    <w:p>
      <w:pPr>
        <w:pStyle w:val="MDPI81references"/>
      </w:pPr>
      <w:r>
        <w:rPr>
          <w:lang w:val="en-GB"/>
        </w:rPr>
        <w:t>[22] Riley RD, Archer L, Snell KIE, et al. Evaluation of clinical prediction models (part 2): how to undertake an external validation study. BMJ. 2024;384:e074820. https://doi.org/10.1136/bmj-2023-074820.</w:t>
      </w:r>
    </w:p>
    <w:p>
      <w:pPr>
        <w:pStyle w:val="MDPI81references"/>
      </w:pPr>
      <w:r>
        <w:rPr>
          <w:lang w:val="en-GB"/>
        </w:rPr>
        <w:t>[23] 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[24] 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[25] Wolff RF, Moons KG, Riley RD, et al. PROBAST: A Tool to Assess the Risk of Bias and Applicability of Prediction Model Studies. Annals of Internal Medicine. 2019;170(1):51-58. https://doi.org/10.7326/M18-1376.</w:t>
      </w:r>
    </w:p>
    <w:p>
      <w:pPr>
        <w:pStyle w:val="MDPI81references"/>
      </w:pPr>
      <w:r>
        <w:rPr>
          <w:lang w:val="en-GB"/>
        </w:rPr>
        <w:t>[26] Vickers AJ, Elkin EB. Decision Curve Analysis: A Novel Method for Evaluating Prediction Models. Medical Decision Making. 2006;26(6):565-574. https://doi.org/10.1177/0272989X06295361.</w:t>
      </w:r>
    </w:p>
    <w:p>
      <w:pPr>
        <w:pStyle w:val="MDPI81references"/>
      </w:pPr>
      <w:r>
        <w:rPr>
          <w:lang w:val="en-GB"/>
        </w:rPr>
        <w:t>[27] 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[28] 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[29] 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[30] 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