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rPr>
          <w:lang w:val="en-GB"/>
        </w:rPr>
        <w:t>Article</w:t>
      </w:r>
    </w:p>
    <w:p>
      <w:pPr>
        <w:pStyle w:val="MDPI12title"/>
      </w:pPr>
      <w:r>
        <w:rPr>
          <w:lang w:val="en-GB"/>
        </w:rPr>
        <w:t>Development and Internal Validation of a Tooth-Level Early-Childhood Caries Prediction Model with a Prespecified External Validation Protocol</w:t>
      </w:r>
    </w:p>
    <w:p>
      <w:pPr>
        <w:pStyle w:val="MDPI13authornames"/>
      </w:pPr>
      <w:r>
        <w:rPr>
          <w:highlight w:val="yellow"/>
          <w:lang w:val="en-GB"/>
        </w:rPr>
        <w:t>[AUTHOR NAMES REQUIRED BEFORE SUBMISSION]</w:t>
      </w:r>
    </w:p>
    <w:p>
      <w:pPr>
        <w:pStyle w:val="MDPI16affiliation"/>
      </w:pPr>
      <w:r>
        <w:rPr>
          <w:highlight w:val="yellow"/>
          <w:lang w:val="en-GB"/>
        </w:rPr>
        <w:t>[AFFILIATIONS AND AUTHOR E-MAILS REQUIRED BEFORE SUBMISSION]</w:t>
      </w:r>
    </w:p>
    <w:p>
      <w:pPr>
        <w:pStyle w:val="MDPI16affiliation"/>
      </w:pPr>
      <w:r>
        <w:rPr>
          <w:highlight w:val="yellow"/>
          <w:lang w:val="en-GB"/>
        </w:rPr>
        <w:t>[CORRESPONDING AUTHOR, E-MAIL, AND OPTIONAL TELEPHONE REQUIRED BEFORE SUBMISSION]</w:t>
      </w:r>
    </w:p>
    <w:p>
      <w:pPr>
        <w:pStyle w:val="MDPI17abstract"/>
      </w:pPr>
      <w:r>
        <w:rPr>
          <w:lang w:val="en-GB"/>
        </w:rPr>
        <w:t>Abstract</w:t>
      </w:r>
    </w:p>
    <w:p>
      <w:pPr>
        <w:pStyle w:val="MDPI17abstract"/>
      </w:pPr>
      <w:r>
        <w:rPr>
          <w:b/>
          <w:lang w:val="en-GB"/>
        </w:rPr>
        <w:t xml:space="preserve">Background/Objectives: </w:t>
      </w:r>
      <w:r>
        <w:rPr>
          <w:lang w:val="en-GB"/>
        </w:rPr>
        <w:t xml:space="preserve">Early-childhood caries (ECC) is tooth-specific, yet transportable tooth-level risk prediction remains insufficiently validated. We aimed to develop and internally validate transparent clinical prediction models using a public longitudinal cohort and to define a version-locked candidate with a prespecified framework for independent external validation. </w:t>
      </w:r>
      <w:r>
        <w:rPr>
          <w:b/>
          <w:lang w:val="en-GB"/>
        </w:rPr>
        <w:t xml:space="preserve">Methods: </w:t>
      </w:r>
      <w:r>
        <w:rPr>
          <w:lang w:val="en-GB"/>
        </w:rPr>
        <w:t xml:space="preserve">Healthy teeth were linked to the next consecutive recorded visit, 2–5 months later, and the outcome was healthy-to-carious transition. Penalised logistic models used either minimal clinical predictors or clinical-plus-spatial predictors. Five outer and three inner child-grouped folds separated tuning from evaluation; recalibration was fitted only in outer-training children. Uncertainty was estimated with 1,000 paired child-cluster bootstrap samples of out-of-fold predictions. </w:t>
      </w:r>
      <w:r>
        <w:rPr>
          <w:b/>
          <w:lang w:val="en-GB"/>
        </w:rPr>
        <w:t xml:space="preserve">Results: </w:t>
      </w:r>
      <w:r>
        <w:rPr>
          <w:lang w:val="en-GB"/>
        </w:rPr>
        <w:t xml:space="preserve">The analysis included 996 tooth transitions, 83 events (8.33%), and 81 children. Average precision was 0.166 (95% interval 0.120–0.246) for the minimal model and 0.178 (0.138–0.239) for the spatial model; AUROCs were 0.686 (0.618–0.754) and 0.737 (0.660–0.804), respectively. Paired model differences included zero. Intercept-and-slope recalibration reduced the minimal model Brier score from 0.0806 to 0.0745 (paired difference −0.00610; 95% interval −0.01173 to −0.00067), whereas the spatial-model change included zero. The development dataset contained 83 events for 24 effective model degrees of freedom, indicating substantial sample-size constraint. </w:t>
      </w:r>
      <w:r>
        <w:rPr>
          <w:b/>
          <w:lang w:val="en-GB"/>
        </w:rPr>
        <w:t xml:space="preserve">Conclusions: </w:t>
      </w:r>
      <w:r>
        <w:rPr>
          <w:lang w:val="en-GB"/>
        </w:rPr>
        <w:t>The models show exploratory internal predictive signal, but incremental spatial benefit, transportability, and clinical utility are unestablished. The locked artifact is a research instrument only; independent external validation with a precision-based sample-size calculation is required before any patient-level use.</w:t>
      </w:r>
    </w:p>
    <w:p>
      <w:pPr>
        <w:pStyle w:val="MDPI18keywords"/>
      </w:pPr>
      <w:r>
        <w:rPr>
          <w:lang w:val="en-GB"/>
        </w:rPr>
        <w:t>Keywords: early-childhood caries; clinical prediction; internal validation; calibration; tooth-level risk; external validation</w:t>
      </w:r>
    </w:p>
    <w:p>
      <w:pPr>
        <w:pStyle w:val="MDPI21heading1"/>
        <w:keepNext/>
      </w:pPr>
      <w:r>
        <w:rPr>
          <w:lang w:val="en-GB"/>
        </w:rPr>
        <w:t>1. Introduction</w:t>
      </w:r>
    </w:p>
    <w:p>
      <w:pPr>
        <w:pStyle w:val="MDPI31text"/>
      </w:pPr>
      <w:r>
        <w:rPr>
          <w:lang w:val="en-GB"/>
        </w:rPr>
        <w:t>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findings motivate tooth-level prediction research but do not validate a different model, implementation, or deployment setting.</w:t>
      </w:r>
    </w:p>
    <w:p>
      <w:pPr>
        <w:pStyle w:val="MDPI31text"/>
      </w:pPr>
      <w:r>
        <w:rPr>
          <w:lang w:val="en-GB"/>
        </w:rPr>
        <w:t>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 CI_SMOKE notebook executed the synthetic branch; its v1.9.1 architecture diagram described a broader protocol. Neither artifact alone established performance in real children.</w:t>
      </w:r>
    </w:p>
    <w:p>
      <w:pPr>
        <w:pStyle w:val="MDPI31text"/>
      </w:pPr>
      <w:r>
        <w:rPr>
          <w:lang w:val="en-GB"/>
        </w:rPr>
        <w:t>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MDPI31text"/>
      </w:pPr>
      <w:r>
        <w:rPr>
          <w:lang w:val="en-GB"/>
        </w:rPr>
        <w:t>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 We therefore framed the study as model development with internal validation, not as evidence of clinical readiness. The primary objective was to quantify internally validated discrimination and probability accuracy for transparent clinical models; the secondary objective was to define a reproducible, version-locked candidate and a methodologically defensible external-validation protocol.</w:t>
      </w:r>
    </w:p>
    <w:p>
      <w:pPr>
        <w:pStyle w:val="MDPI21heading1"/>
        <w:keepNext/>
      </w:pPr>
      <w:r>
        <w:rPr>
          <w:lang w:val="en-GB"/>
        </w:rPr>
        <w:t>2. Materials and Methods</w:t>
      </w:r>
    </w:p>
    <w:p>
      <w:pPr>
        <w:pStyle w:val="MDPI22heading2"/>
        <w:keepNext/>
      </w:pPr>
      <w:r>
        <w:rPr>
          <w:lang w:val="en-GB"/>
        </w:rPr>
        <w:t>2.1. Study Design, Source Data, and Provenance</w:t>
      </w:r>
    </w:p>
    <w:p>
      <w:pPr>
        <w:pStyle w:val="MDPI31text"/>
      </w:pPr>
      <w:r>
        <w:rPr>
          <w:lang w:val="en-GB"/>
        </w:rPr>
        <w:t>This was a secondary analysis of the public all_metadata worksheet in the source study’s Table_S1.xlsx, obtained from the authors’ Single-tooth-ECC repository at commit e5868fe5. The exact file used in this analysis had SHA-256 b7819fee81efbe2e227b7700c3cd86ce8bc6f7fe6f49da6214f4107d099184fa;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 CI_SMOKE output.</w:t>
      </w:r>
    </w:p>
    <w:p>
      <w:pPr>
        <w:pStyle w:val="MDPI31text"/>
      </w:pPr>
      <w:r>
        <w:rPr>
          <w:lang w:val="en-GB"/>
        </w:rPr>
        <w:t>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MDPI31text"/>
      </w:pPr>
      <w:r>
        <w:rPr>
          <w:lang w:val="en-GB"/>
        </w:rPr>
        <w:t>Sampling provenance, and what we could not verify. 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which is one reason the PROBAST+AI Participants domain is rated High. We report the analysable cohort exactly as released (2,504 records, 89 children) and treat recruitment provenance as an unresolved author-verification item.</w:t>
      </w:r>
    </w:p>
    <w:p>
      <w:pPr>
        <w:pStyle w:val="MDPI31text"/>
      </w:pPr>
      <w:r>
        <w:rPr>
          <w:lang w:val="en-GB"/>
        </w:rPr>
        <w:t>Comparator structure. This was a prognostic prediction-model development study rather than an intervention study; therefore, an intervention control group was neither applicable nor constructed. The clinical-minimal model was the reference prediction model for assessing incremental information from the clinical-spatial feature set, and a fold-specific training-prevalence model was used as a benchmark for probability scores. These are analytical comparators and should not be interpreted as clinical control groups. No randomisation or masking was involved.</w:t>
      </w:r>
    </w:p>
    <w:p>
      <w:pPr>
        <w:pStyle w:val="MDPI32textnoindent"/>
        <w:spacing w:before="0"/>
        <w:ind w:left="0" w:right="0" w:firstLine="0"/>
        <w:jc w:val="center"/>
      </w:pPr>
      <w:r>
        <w:rPr>
          <w:lang w:val="en-GB"/>
        </w:rPr>
        <w:drawing>
          <wp:inline xmlns:a="http://schemas.openxmlformats.org/drawingml/2006/main">
            <wp:extent cx="5303520" cy="4242816"/>
            <wp:docPr id="1" name="Picture 1" descr="Evidence workflow separating executed analyses from proposed microbiome, imaging, fusion, and external validation branches" title="Evidence workflow separating executed analyses from proposed microbiome, imaging"/>
            <wp:cNvGraphicFramePr>
              <a:graphicFrameLocks noChangeAspect="1"/>
            </wp:cNvGraphicFramePr>
            <a:graphic>
              <a:graphicData uri="http://schemas.openxmlformats.org/drawingml/2006/picture">
                <pic:pic>
                  <pic:nvPicPr>
                    <pic:cNvPr id="0" name="rId12.png"/>
                    <pic:cNvPicPr/>
                  </pic:nvPicPr>
                  <pic:blipFill>
                    <a:blip r:embed="rId16"/>
                    <a:stretch>
                      <a:fillRect/>
                    </a:stretch>
                  </pic:blipFill>
                  <pic:spPr>
                    <a:xfrm>
                      <a:off x="0" y="0"/>
                      <a:ext cx="5303520" cy="4242816"/>
                    </a:xfrm>
                    <a:prstGeom prst="rect"/>
                  </pic:spPr>
                </pic:pic>
              </a:graphicData>
            </a:graphic>
          </wp:inline>
        </w:drawing>
      </w:r>
    </w:p>
    <w:p>
      <w:pPr>
        <w:pStyle w:val="MDPI51figurecaption"/>
        <w:keepNext/>
      </w:pPr>
      <w:r>
        <w:rPr>
          <w:lang w:val="en-GB"/>
        </w:rPr>
        <w:t>Figure 1. Evidence workflow for the present study. The executed branches comprise the prior synthetic technical demonstration and the public-cohort clinical reconstruction/internal prediction analysis. Microbiome, image, patient-linked multimodal fusion, and independent external validation branches were not executed for the present manuscript. The distinction between executed and proposed branches is maintained throughout the text.</w:t>
      </w:r>
    </w:p>
    <w:p>
      <w:pPr>
        <w:pStyle w:val="MDPI22heading2"/>
        <w:keepNext/>
      </w:pPr>
      <w:r>
        <w:rPr>
          <w:lang w:val="en-GB"/>
        </w:rPr>
        <w:t>2.2. Tooth Transitions and Analysis Cohort</w:t>
      </w:r>
    </w:p>
    <w:p>
      <w:pPr>
        <w:pStyle w:val="MDPI31text"/>
      </w:pPr>
      <w:r>
        <w:rPr>
          <w:lang w:val="en-GB"/>
        </w:rPr>
        <w:t>The published spreadsheet contains patient, tooth-position, visit, and current tooth-status fields. We mapped the 20 primary-tooth positions to FDI identifiers, removed composite position T5161 from individual-tooth modelling, and linked each child’s same tooth to its next recorded visit. Only consecutive visit indices were retained. The binary outcome was H→C versus H→H, where H means clinically healthy at visit t and C means carious at the next visit. Teeth already carious at t were excluded from onset prediction. Current-visit neighbour status and host caries experience were derived or taken from the visit-t record. Source-defined HostGroup, future tooth status, time to decay, next-visit status, and follow-up interval were barred from predictors.</w:t>
      </w:r>
    </w:p>
    <w:p>
      <w:pPr>
        <w:pStyle w:val="MDPI31text"/>
      </w:pPr>
      <w:r>
        <w:rPr>
          <w:lang w:val="en-GB"/>
        </w:rPr>
        <w:t>Reporting was mapped to TRIPOD+AI [10], and methodological quality, risk of bias, and applicability were assessed using PROBAST+AI [11]. Supplementary Files S3 and S4 record item-level responses, evidence locations, and unresolved information. These AI-assisted internal assessments are not independent external reviews.</w:t>
      </w:r>
    </w:p>
    <w:p>
      <w:pPr>
        <w:pStyle w:val="MDPI31text"/>
      </w:pPr>
      <w:r>
        <w:rPr>
          <w:lang w:val="en-GB"/>
        </w:rPr>
        <w:t>The notebook’s original transition rule yielded 997 eligible H 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p>
      <w:pPr>
        <w:pStyle w:val="MDPI22heading2"/>
        <w:keepNext/>
      </w:pPr>
      <w:r>
        <w:rPr>
          <w:lang w:val="en-GB"/>
        </w:rPr>
        <w:t>2.3. Candidate Prediction Models</w:t>
      </w:r>
    </w:p>
    <w:p>
      <w:pPr>
        <w:pStyle w:val="MDPI31text"/>
      </w:pPr>
      <w:r>
        <w:rPr>
          <w:lang w:val="en-GB"/>
        </w:rPr>
        <w:t>Two penalised logistic-regression feature sets were defined in the analysis code before fitting. No prospectively registered analysis protocol was available. The minimal clinical model used tooth position, age in months at t, host dmfs at t, and the number of adjacent carious teeth at t. The clinical-spatial 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MDPI31text"/>
      </w:pPr>
      <w:r>
        <w:rPr>
          <w:lang w:val="en-GB"/>
        </w:rPr>
        <w:t>Categorical fields were imputed by the most frequent training value and one-hot encoded; numeric fields were median-imputed and standardised. All operations were fitted on training rows within each fold. The regularisation parameter C 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p>
      <w:pPr>
        <w:pStyle w:val="MDPI22heading2"/>
        <w:keepNext/>
      </w:pPr>
      <w:r>
        <w:rPr>
          <w:lang w:val="en-GB"/>
        </w:rPr>
        <w:t>2.4. Internal Validation, Calibration, and Uncertainty</w:t>
      </w:r>
    </w:p>
    <w:p>
      <w:pPr>
        <w:pStyle w:val="MDPI31text"/>
      </w:pPr>
      <w:r>
        <w:rPr>
          <w:lang w:val="en-GB"/>
        </w:rPr>
        <w:t>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original shuffled splitter in scikit-learn 1.6.1 had a confirmed group-remapping defect; the output of an earlier non-public exploratory run under that policy is retained in Supplementary File S2 as a historical reproduction, not combined with the primary analysis. The corrected split assignments were reproduced under scikit-learn 1.6.1 and 1.9.0.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MDPI31text"/>
      </w:pPr>
      <w:r>
        <w:rPr>
          <w:lang w:val="en-GB"/>
        </w:rPr>
        <w:t>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using the locked model and a prospectively justified sample size, remains necessary [22].</w:t>
      </w:r>
    </w:p>
    <w:p>
      <w:pPr>
        <w:pStyle w:val="MDPI31text"/>
      </w:pPr>
      <w:r>
        <w:rPr>
          <w:lang w:val="en-GB"/>
        </w:rPr>
        <w:t>The development sample size was fixed by the available public cohort; no prospective sample-size calculation was possible. The 83 observed events relative to 24 effective model degrees of freedom (3.46 events per parameter) are reported descriptively as a warning of potential overfitting, not as a formal adequacy criterion. Contemporary sample-size methods for prediction-model development depend on the outcome proportion, the number of candidate parameters, anticipated model fit, and target shrinkage rather than on a universal events-per-variable rule [23].</w:t>
      </w:r>
    </w:p>
    <w:p>
      <w:pPr>
        <w:pStyle w:val="MDPI22heading2"/>
        <w:keepNext/>
      </w:pPr>
      <w:r>
        <w:rPr>
          <w:lang w:val="en-GB"/>
        </w:rPr>
        <w:t>2.5. Version-Locked Model and Prespecified External Validation Framework</w:t>
      </w:r>
    </w:p>
    <w:p>
      <w:pPr>
        <w:pStyle w:val="MDPI31text"/>
      </w:pPr>
      <w:r>
        <w:rPr>
          <w:lang w:val="en-GB"/>
        </w:rPr>
        <w:t>A final research artifact was version-locked before any external dataset was available so that subsequent external evaluation can apply the same preprocessing, coefficients, and probability transformation without post hoc modification. Locking an artifact does not constitute validation and does not justify clinical deployment.</w:t>
      </w:r>
    </w:p>
    <w:p>
      <w:pPr>
        <w:pStyle w:val="MDPI31text"/>
      </w:pPr>
      <w:r>
        <w:rPr>
          <w:lang w:val="en-GB"/>
        </w:rPr>
        <w:t>Primary model. The locked primary model is the clinical-minimal set. The choice is not a default and was not made from validation performance: every clinical-minimal predictor (tooth position, age in months, host dmfs, number of adjacent carious teeth) is plausibly available at a routine caries visit, whereas the clinical-spatial predictors were derived in the source dataset, were not reconstructed from raw records, and their prospective availability requires independent verification. Selecting the spatial model on its higher point estimate would be data-driven selection and would raise the PROBAST+AI risk in the Analysis domain. The clinical-spatial model was therefore locked as a secondary exploratory candidate and must not be deployed until its derived predictors are reconstructed and verified.</w:t>
      </w:r>
    </w:p>
    <w:p>
      <w:pPr>
        <w:pStyle w:val="MDPI31text"/>
      </w:pPr>
      <w:r>
        <w:rPr>
          <w:lang w:val="en-GB"/>
        </w:rPr>
        <w:t>Locking procedure. The regularisation value was selected once by grouped cross-validation on the full cohort, cross-fitted training-only probabilities were generated, the intercept-and-slope recalibration map was fitted on those probabilities, and the base pipeline was refitted on all rows. The cohort was asserted fail-closed before locking: 996 transitions, 83 events, and 81 children, with a hard abort on any divergence. The published bundle records the source SHA-256, the seed, Python and library versions, the lock timestamp, and its own SHA-256, so that an external centre scores exactly this artifact.</w:t>
      </w:r>
    </w:p>
    <w:p>
      <w:pPr>
        <w:pStyle w:val="MDPI31text"/>
      </w:pPr>
      <w:r>
        <w:rPr>
          <w:lang w:val="en-GB"/>
        </w:rPr>
        <w:t>Honest reporting of the locked artifact. Because the regularisation value was chosen once on the full cohort, the artifact’s cross-fitted metrics are optimistic relative to the fold-wise estimates reported in Section 3.2. The artifact’s apparent resubstitution metrics are optimistic still. Performance reporting must cite the fold-wise out-of-fold estimates in Section 3.2, not the artifact’s own metric fields. The model card states this explicitly so that the artifact cannot be misread as validation evidence.</w:t>
      </w:r>
    </w:p>
    <w:p>
      <w:pPr>
        <w:pStyle w:val="MDPI31text"/>
      </w:pPr>
      <w:r>
        <w:rPr>
          <w:lang w:val="en-GB"/>
        </w:rPr>
        <w:t>External-validation sample size. No definitive external-validation sample size is claimed in this manuscript. Before recruitment, the validation study should use a precision-based calculation tailored to the anticipated outcome proportion, distribution of predicted risks, expected discrimination/calibration, and desired confidence-interval widths for key performance measures. Rules of thumb such as 100 events and 100 non-events may provide only an initial floor; tailored calculations can require substantially larger samples, particularly for calibration assessment [24]. The calculation and all assumptions should be registered before outcome data are inspected.</w:t>
      </w:r>
    </w:p>
    <w:p>
      <w:pPr>
        <w:pStyle w:val="MDPI31text"/>
      </w:pPr>
      <w:r>
        <w:rPr>
          <w:lang w:val="en-GB"/>
        </w:rPr>
        <w:t>Prespecified external-validation analysis. The locked model should be applied without refitting to a genuinely independent centre or time period. Primary reporting should include AUROC with child-level uncertainty, calibration-in-the-large, calibration slope, a smoothed calibration curve with uncertainty, and overall prediction error. AUPRC, Brier score, log loss, and clinically justified decision-curve analyses may be reported as secondary measures. Subgroup performance should be evaluated where sample size permits. Thresholds of 0.05, 0.10, and 0.20 may be retained only as sensitivity analyses unless clinical stakeholders justify them as actionable thresholds before registration. External performance should be reported as estimates with uncertainty rather than reduced to a single dichotomous “transportable/non-transportable” decision.</w:t>
      </w:r>
    </w:p>
    <w:p>
      <w:pPr>
        <w:pStyle w:val="MDPI22heading2"/>
        <w:keepNext/>
      </w:pPr>
      <w:r>
        <w:rPr>
          <w:lang w:val="en-GB"/>
        </w:rPr>
        <w:t>2.6. Technical Audit, Reproducibility, and Analysis Boundary</w:t>
      </w:r>
    </w:p>
    <w:p>
      <w:pPr>
        <w:pStyle w:val="MDPI31text"/>
      </w:pPr>
      <w:r>
        <w:rPr>
          <w:lang w:val="en-GB"/>
        </w:rPr>
        <w:t>The supplied v1.3.2 notebook was inspected for outcome timing, grouped partitioning, and test quality. Its saved CI_SMOKE run used synthetic records, and a separate rerun of its current source code reproduced identical transition and event counts but different predictive metrics. A duplicated-key self-test, a tautological patient-overlap test, and two hard-coded acceptance gates were found on inspection. None of this constitutes clinical evidence: the synthetic and rerun outputs were not pooled, and neither was used as a clinical result. The clinical analysis reported here instead used explicit child-disjoint and future-feature assertions. The full audit, the rerun discrepancy, and the effect of the corrected split policy on internal estimates are documented in Supplementary File S2. The broader v1.9.1 flowchart was treated as a design source only; the revised detailed workflow is Supplementary File S1.</w:t>
      </w:r>
    </w:p>
    <w:p>
      <w:pPr>
        <w:pStyle w:val="MDPI31text"/>
      </w:pPr>
      <w:r>
        <w:rPr>
          <w:lang w:val="en-GB"/>
        </w:rPr>
        <w:t>Reproducibility boundary. All clinical results reported in this manuscript derive from the verified public worksheet and the corrected child-grouped analysis policy. Synthetic CI_SMOKE outputs, historical exploratory runs, microbiome analyses, image analyses, and patient-linked multimodal fusion are not pooled with or used to support the reported clinical performance. Versioned scripts, source-file digest, software versions, split assignments, and aggregate outputs should accompany the submission or be deposited in a permanent repository before publication.</w:t>
      </w:r>
    </w:p>
    <w:p>
      <w:pPr>
        <w:pStyle w:val="MDPI22heading2"/>
        <w:keepNext/>
      </w:pPr>
      <w:r>
        <w:rPr>
          <w:lang w:val="en-GB"/>
        </w:rPr>
        <w:t>2.7. Use of Generative AI and Computational Assistance</w:t>
      </w:r>
    </w:p>
    <w:p>
      <w:pPr>
        <w:pStyle w:val="MDPI31text"/>
      </w:pPr>
      <w:r>
        <w:rPr>
          <w:lang w:val="en-GB"/>
        </w:rPr>
        <w:t>OpenAI Codex assisted with analysis-code review, execution support, editorial revision, reference checking, and deterministic figure scripting. Generative AI was not used to create, alter, or fabricate primary observations, patient data, clinical images, or outcome labels. The named authors are responsible for verifying the data provenance, code, statistical outputs, citations, and final manuscript. Tool names and versions should be updated to the exact systems used at the time of final submission, in accordance with MDPI disclosure requirements.</w:t>
      </w:r>
    </w:p>
    <w:p>
      <w:pPr>
        <w:pStyle w:val="MDPI21heading1"/>
        <w:keepNext/>
      </w:pPr>
      <w:r>
        <w:rPr>
          <w:lang w:val="en-GB"/>
        </w:rPr>
        <w:t>3. Results</w:t>
      </w:r>
    </w:p>
    <w:p>
      <w:pPr>
        <w:pStyle w:val="MDPI22heading2"/>
        <w:keepNext/>
      </w:pPr>
      <w:r>
        <w:rPr>
          <w:lang w:val="en-GB"/>
        </w:rPr>
        <w:t>3.1. Source-Cohort Reconstruction</w:t>
      </w:r>
    </w:p>
    <w:p>
      <w:pPr>
        <w:pStyle w:val="MDPI31text"/>
      </w:pPr>
      <w:r>
        <w:rPr>
          <w:lang w:val="en-GB"/>
        </w:rPr>
        <w:t>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 H→H, 84 H→C, 163 C→C, and no C→H transitions. Thus the original onset cohort contained 997 healthy-at-t 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MDPI41tablecaption"/>
        <w:keepNext/>
      </w:pPr>
      <w:r>
        <w:rPr>
          <w:lang w:val="en-GB"/>
        </w:rPr>
        <w:t>Table 1. Reconstruction of the published-source cohort and definition of the predictive analysis set.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Stage</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Records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Children or 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Interpretation</w:t>
            </w:r>
          </w:p>
        </w:tc>
      </w:tr>
      <w:tr>
        <w:tc>
          <w:tcPr>
            <w:tcW w:type="dxa" w:w="2616"/>
            <w:vAlign w:val="center"/>
            <w:tcMar>
              <w:top w:w="80" w:type="dxa"/>
              <w:start w:w="80" w:type="dxa"/>
              <w:bottom w:w="80" w:type="dxa"/>
              <w:end w:w="80" w:type="dxa"/>
            </w:tcMar>
          </w:tcPr>
          <w:p>
            <w:r>
              <w:rPr>
                <w:rFonts w:ascii="Palatino Linotype" w:hAnsi="Palatino Linotype"/>
                <w:sz w:val="18"/>
              </w:rPr>
              <w:t>Public all_metadata worksheet</w:t>
            </w:r>
          </w:p>
        </w:tc>
        <w:tc>
          <w:tcPr>
            <w:tcW w:type="dxa" w:w="2616"/>
            <w:vAlign w:val="center"/>
            <w:tcMar>
              <w:top w:w="80" w:type="dxa"/>
              <w:start w:w="80" w:type="dxa"/>
              <w:bottom w:w="80" w:type="dxa"/>
              <w:end w:w="80" w:type="dxa"/>
            </w:tcMar>
          </w:tcPr>
          <w:p>
            <w:pPr>
              <w:jc w:val="center"/>
            </w:pPr>
            <w:r>
              <w:rPr>
                <w:rFonts w:ascii="Palatino Linotype" w:hAnsi="Palatino Linotype"/>
                <w:sz w:val="18"/>
              </w:rPr>
              <w:t>2,504</w:t>
            </w:r>
          </w:p>
        </w:tc>
        <w:tc>
          <w:tcPr>
            <w:tcW w:type="dxa" w:w="2616"/>
            <w:vAlign w:val="center"/>
            <w:tcMar>
              <w:top w:w="80" w:type="dxa"/>
              <w:start w:w="80" w:type="dxa"/>
              <w:bottom w:w="80" w:type="dxa"/>
              <w:end w:w="80" w:type="dxa"/>
            </w:tcMar>
          </w:tcPr>
          <w:p>
            <w:pPr>
              <w:jc w:val="center"/>
            </w:pPr>
            <w:r>
              <w:rPr>
                <w:rFonts w:ascii="Palatino Linotype" w:hAnsi="Palatino Linotype"/>
                <w:sz w:val="18"/>
              </w:rPr>
              <w:t>89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Source records before tooth filtering</w:t>
            </w:r>
          </w:p>
        </w:tc>
      </w:tr>
      <w:tr>
        <w:tc>
          <w:tcPr>
            <w:tcW w:type="dxa" w:w="2616"/>
            <w:vAlign w:val="center"/>
            <w:tcMar>
              <w:top w:w="80" w:type="dxa"/>
              <w:start w:w="80" w:type="dxa"/>
              <w:bottom w:w="80" w:type="dxa"/>
              <w:end w:w="80" w:type="dxa"/>
            </w:tcMar>
          </w:tcPr>
          <w:p>
            <w:r>
              <w:rPr>
                <w:rFonts w:ascii="Palatino Linotype" w:hAnsi="Palatino Linotype"/>
                <w:sz w:val="18"/>
              </w:rPr>
              <w:t>Composite position T5161</w:t>
            </w:r>
          </w:p>
        </w:tc>
        <w:tc>
          <w:tcPr>
            <w:tcW w:type="dxa" w:w="2616"/>
            <w:vAlign w:val="center"/>
            <w:tcMar>
              <w:top w:w="80" w:type="dxa"/>
              <w:start w:w="80" w:type="dxa"/>
              <w:bottom w:w="80" w:type="dxa"/>
              <w:end w:w="80" w:type="dxa"/>
            </w:tcMar>
          </w:tcPr>
          <w:p>
            <w:pPr>
              <w:jc w:val="center"/>
            </w:pPr>
            <w:r>
              <w:rPr>
                <w:rFonts w:ascii="Palatino Linotype" w:hAnsi="Palatino Linotype"/>
                <w:sz w:val="18"/>
              </w:rPr>
              <w:t>220</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Excluded from individual-tooth modelling</w:t>
            </w:r>
          </w:p>
        </w:tc>
      </w:tr>
      <w:tr>
        <w:tc>
          <w:tcPr>
            <w:tcW w:type="dxa" w:w="2616"/>
            <w:vAlign w:val="center"/>
            <w:tcMar>
              <w:top w:w="80" w:type="dxa"/>
              <w:start w:w="80" w:type="dxa"/>
              <w:bottom w:w="80" w:type="dxa"/>
              <w:end w:w="80" w:type="dxa"/>
            </w:tcMar>
          </w:tcPr>
          <w:p>
            <w:r>
              <w:rPr>
                <w:rFonts w:ascii="Palatino Linotype" w:hAnsi="Palatino Linotype"/>
                <w:sz w:val="18"/>
              </w:rPr>
              <w:t>Single-tooth rows</w:t>
            </w:r>
          </w:p>
        </w:tc>
        <w:tc>
          <w:tcPr>
            <w:tcW w:type="dxa" w:w="2616"/>
            <w:vAlign w:val="center"/>
            <w:tcMar>
              <w:top w:w="80" w:type="dxa"/>
              <w:start w:w="80" w:type="dxa"/>
              <w:bottom w:w="80" w:type="dxa"/>
              <w:end w:w="80" w:type="dxa"/>
            </w:tcMar>
          </w:tcPr>
          <w:p>
            <w:pPr>
              <w:jc w:val="center"/>
            </w:pPr>
            <w:r>
              <w:rPr>
                <w:rFonts w:ascii="Palatino Linotype" w:hAnsi="Palatino Linotype"/>
                <w:sz w:val="18"/>
              </w:rPr>
              <w:t>2,284</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Tooth-level records</w:t>
            </w:r>
          </w:p>
        </w:tc>
      </w:tr>
      <w:tr>
        <w:tc>
          <w:tcPr>
            <w:tcW w:type="dxa" w:w="2616"/>
            <w:vAlign w:val="center"/>
            <w:tcMar>
              <w:top w:w="80" w:type="dxa"/>
              <w:start w:w="80" w:type="dxa"/>
              <w:bottom w:w="80" w:type="dxa"/>
              <w:end w:w="80" w:type="dxa"/>
            </w:tcMar>
          </w:tcPr>
          <w:p>
            <w:r>
              <w:rPr>
                <w:rFonts w:ascii="Palatino Linotype" w:hAnsi="Palatino Linotype"/>
                <w:sz w:val="18"/>
              </w:rPr>
              <w:t>Same-tooth observed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1,388</w:t>
            </w:r>
          </w:p>
        </w:tc>
        <w:tc>
          <w:tcPr>
            <w:tcW w:type="dxa" w:w="2616"/>
            <w:vAlign w:val="center"/>
            <w:tcMar>
              <w:top w:w="80" w:type="dxa"/>
              <w:start w:w="80" w:type="dxa"/>
              <w:bottom w:w="80" w:type="dxa"/>
              <w:end w:w="80" w:type="dxa"/>
            </w:tcMar>
          </w:tcPr>
          <w:p>
            <w:pPr>
              <w:jc w:val="center"/>
            </w:pPr>
            <w:r>
              <w:rPr>
                <w:rFonts w:ascii="Palatino Linotype" w:hAnsi="Palatino Linotype"/>
                <w:sz w:val="18"/>
              </w:rPr>
              <w:t>—</w:t>
            </w:r>
          </w:p>
        </w:tc>
        <w:tc>
          <w:tcPr>
            <w:tcW w:type="dxa" w:w="2616"/>
            <w:vAlign w:val="center"/>
            <w:tcMar>
              <w:top w:w="80" w:type="dxa"/>
              <w:start w:w="80" w:type="dxa"/>
              <w:bottom w:w="80" w:type="dxa"/>
              <w:end w:w="80" w:type="dxa"/>
            </w:tcMar>
          </w:tcPr>
          <w:p>
            <w:pPr>
              <w:jc w:val="center"/>
            </w:pPr>
            <w:r>
              <w:rPr>
                <w:rFonts w:ascii="Palatino Linotype" w:hAnsi="Palatino Linotype"/>
                <w:sz w:val="18"/>
              </w:rPr>
              <w:t>Any successive recorded visits</w:t>
            </w:r>
          </w:p>
        </w:tc>
      </w:tr>
      <w:tr>
        <w:tc>
          <w:tcPr>
            <w:tcW w:type="dxa" w:w="2616"/>
            <w:vAlign w:val="center"/>
            <w:tcMar>
              <w:top w:w="80" w:type="dxa"/>
              <w:start w:w="80" w:type="dxa"/>
              <w:bottom w:w="80" w:type="dxa"/>
              <w:end w:w="80" w:type="dxa"/>
            </w:tcMar>
          </w:tcPr>
          <w:p>
            <w:r>
              <w:rPr>
                <w:rFonts w:ascii="Palatino Linotype" w:hAnsi="Palatino Linotype"/>
                <w:sz w:val="18"/>
              </w:rPr>
              <w:t>Consecutive-index transitions</w:t>
            </w:r>
          </w:p>
        </w:tc>
        <w:tc>
          <w:tcPr>
            <w:tcW w:type="dxa" w:w="2616"/>
            <w:vAlign w:val="center"/>
            <w:tcMar>
              <w:top w:w="80" w:type="dxa"/>
              <w:start w:w="80" w:type="dxa"/>
              <w:bottom w:w="80" w:type="dxa"/>
              <w:end w:w="80" w:type="dxa"/>
            </w:tcMar>
          </w:tcPr>
          <w:p>
            <w:pPr>
              <w:jc w:val="center"/>
            </w:pPr>
            <w:r>
              <w:rPr>
                <w:rFonts w:ascii="Palatino Linotype" w:hAnsi="Palatino Linotype"/>
                <w:sz w:val="18"/>
              </w:rPr>
              <w:t>1,160</w:t>
            </w:r>
          </w:p>
        </w:tc>
        <w:tc>
          <w:tcPr>
            <w:tcW w:type="dxa" w:w="2616"/>
            <w:vAlign w:val="center"/>
            <w:tcMar>
              <w:top w:w="80" w:type="dxa"/>
              <w:start w:w="80" w:type="dxa"/>
              <w:bottom w:w="80" w:type="dxa"/>
              <w:end w:w="80" w:type="dxa"/>
            </w:tcMar>
          </w:tcPr>
          <w:p>
            <w:pPr>
              <w:jc w:val="center"/>
            </w:pPr>
            <w:r>
              <w:rPr>
                <w:rFonts w:ascii="Palatino Linotype" w:hAnsi="Palatino Linotype"/>
                <w:sz w:val="18"/>
              </w:rPr>
              <w:t>913 H→H; 84 H→C; 163 C→C; 0 C→H</w:t>
            </w:r>
          </w:p>
        </w:tc>
        <w:tc>
          <w:tcPr>
            <w:tcW w:type="dxa" w:w="2616"/>
            <w:vAlign w:val="center"/>
            <w:tcMar>
              <w:top w:w="80" w:type="dxa"/>
              <w:start w:w="80" w:type="dxa"/>
              <w:bottom w:w="80" w:type="dxa"/>
              <w:end w:w="80" w:type="dxa"/>
            </w:tcMar>
          </w:tcPr>
          <w:p>
            <w:pPr>
              <w:jc w:val="center"/>
            </w:pPr>
            <w:r>
              <w:rPr>
                <w:rFonts w:ascii="Palatino Linotype" w:hAnsi="Palatino Linotype"/>
                <w:sz w:val="18"/>
              </w:rPr>
              <w:t>Exact transition rule</w:t>
            </w:r>
          </w:p>
        </w:tc>
      </w:tr>
      <w:tr>
        <w:tc>
          <w:tcPr>
            <w:tcW w:type="dxa" w:w="2616"/>
            <w:vAlign w:val="center"/>
            <w:tcMar>
              <w:top w:w="80" w:type="dxa"/>
              <w:start w:w="80" w:type="dxa"/>
              <w:bottom w:w="80" w:type="dxa"/>
              <w:end w:w="80" w:type="dxa"/>
            </w:tcMar>
          </w:tcPr>
          <w:p>
            <w:r>
              <w:rPr>
                <w:rFonts w:ascii="Palatino Linotype" w:hAnsi="Palatino Linotype"/>
                <w:sz w:val="18"/>
              </w:rPr>
              <w:t>Healthy-at-t onset cohort</w:t>
            </w:r>
          </w:p>
        </w:tc>
        <w:tc>
          <w:tcPr>
            <w:tcW w:type="dxa" w:w="2616"/>
            <w:vAlign w:val="center"/>
            <w:tcMar>
              <w:top w:w="80" w:type="dxa"/>
              <w:start w:w="80" w:type="dxa"/>
              <w:bottom w:w="80" w:type="dxa"/>
              <w:end w:w="80" w:type="dxa"/>
            </w:tcMar>
          </w:tcPr>
          <w:p>
            <w:pPr>
              <w:jc w:val="center"/>
            </w:pPr>
            <w:r>
              <w:rPr>
                <w:rFonts w:ascii="Palatino Linotype" w:hAnsi="Palatino Linotype"/>
                <w:sz w:val="18"/>
              </w:rPr>
              <w:t>997</w:t>
            </w:r>
          </w:p>
        </w:tc>
        <w:tc>
          <w:tcPr>
            <w:tcW w:type="dxa" w:w="2616"/>
            <w:vAlign w:val="center"/>
            <w:tcMar>
              <w:top w:w="80" w:type="dxa"/>
              <w:start w:w="80" w:type="dxa"/>
              <w:bottom w:w="80" w:type="dxa"/>
              <w:end w:w="80" w:type="dxa"/>
            </w:tcMar>
          </w:tcPr>
          <w:p>
            <w:pPr>
              <w:jc w:val="center"/>
            </w:pPr>
            <w:r>
              <w:rPr>
                <w:rFonts w:ascii="Palatino Linotype" w:hAnsi="Palatino Linotype"/>
                <w:sz w:val="18"/>
              </w:rPr>
              <w:t>84 events</w:t>
            </w:r>
          </w:p>
        </w:tc>
        <w:tc>
          <w:tcPr>
            <w:tcW w:type="dxa" w:w="2616"/>
            <w:vAlign w:val="center"/>
            <w:tcMar>
              <w:top w:w="80" w:type="dxa"/>
              <w:start w:w="80" w:type="dxa"/>
              <w:bottom w:w="80" w:type="dxa"/>
              <w:end w:w="80" w:type="dxa"/>
            </w:tcMar>
          </w:tcPr>
          <w:p>
            <w:pPr>
              <w:jc w:val="center"/>
            </w:pPr>
            <w:r>
              <w:rPr>
                <w:rFonts w:ascii="Palatino Linotype" w:hAnsi="Palatino Linotype"/>
                <w:sz w:val="18"/>
              </w:rPr>
              <w:t>Reproduced target counts</w:t>
            </w:r>
          </w:p>
        </w:tc>
      </w:tr>
      <w:tr>
        <w:tc>
          <w:tcPr>
            <w:tcW w:type="dxa" w:w="2616"/>
            <w:vAlign w:val="center"/>
            <w:tcMar>
              <w:top w:w="80" w:type="dxa"/>
              <w:start w:w="80" w:type="dxa"/>
              <w:bottom w:w="80" w:type="dxa"/>
              <w:end w:w="80" w:type="dxa"/>
            </w:tcMar>
          </w:tcPr>
          <w:p>
            <w:r>
              <w:rPr>
                <w:rFonts w:ascii="Palatino Linotype" w:hAnsi="Palatino Linotype"/>
                <w:sz w:val="18"/>
              </w:rPr>
              <w:t>Primary predictive analysis</w:t>
            </w:r>
          </w:p>
        </w:tc>
        <w:tc>
          <w:tcPr>
            <w:tcW w:type="dxa" w:w="2616"/>
            <w:vAlign w:val="center"/>
            <w:tcMar>
              <w:top w:w="80" w:type="dxa"/>
              <w:start w:w="80" w:type="dxa"/>
              <w:bottom w:w="80" w:type="dxa"/>
              <w:end w:w="80" w:type="dxa"/>
            </w:tcMar>
          </w:tcPr>
          <w:p>
            <w:pPr>
              <w:jc w:val="center"/>
            </w:pPr>
            <w:r>
              <w:rPr>
                <w:rFonts w:ascii="Palatino Linotype" w:hAnsi="Palatino Linotype"/>
                <w:sz w:val="18"/>
              </w:rPr>
              <w:t>996</w:t>
            </w:r>
          </w:p>
        </w:tc>
        <w:tc>
          <w:tcPr>
            <w:tcW w:type="dxa" w:w="2616"/>
            <w:vAlign w:val="center"/>
            <w:tcMar>
              <w:top w:w="80" w:type="dxa"/>
              <w:start w:w="80" w:type="dxa"/>
              <w:bottom w:w="80" w:type="dxa"/>
              <w:end w:w="80" w:type="dxa"/>
            </w:tcMar>
          </w:tcPr>
          <w:p>
            <w:pPr>
              <w:jc w:val="center"/>
            </w:pPr>
            <w:r>
              <w:rPr>
                <w:rFonts w:ascii="Palatino Linotype" w:hAnsi="Palatino Linotype"/>
                <w:sz w:val="18"/>
              </w:rPr>
              <w:t>83 events; 81 children</w:t>
            </w:r>
          </w:p>
        </w:tc>
        <w:tc>
          <w:tcPr>
            <w:tcW w:type="dxa" w:w="2616"/>
            <w:vAlign w:val="center"/>
            <w:tcMar>
              <w:top w:w="80" w:type="dxa"/>
              <w:start w:w="80" w:type="dxa"/>
              <w:bottom w:w="80" w:type="dxa"/>
              <w:end w:w="80" w:type="dxa"/>
            </w:tcMar>
          </w:tcPr>
          <w:p>
            <w:pPr>
              <w:jc w:val="center"/>
            </w:pPr>
            <w:r>
              <w:rPr>
                <w:rFonts w:ascii="Palatino Linotype" w:hAnsi="Palatino Linotype"/>
                <w:sz w:val="18"/>
              </w:rPr>
              <w:t>One zero-month interval excluded</w:t>
            </w:r>
          </w:p>
        </w:tc>
      </w:tr>
    </w:tbl>
    <w:p>
      <w:pPr>
        <w:pStyle w:val="MDPI43tablefooter"/>
      </w:pPr>
      <w:r>
        <w:rPr>
          <w:lang w:val="en-GB"/>
        </w:rPr>
        <w:t>H = clinically healthy; C = carious at the next recorded visit.</w:t>
      </w:r>
    </w:p>
    <w:p>
      <w:pPr>
        <w:pStyle w:val="MDPI32textnoindent"/>
        <w:spacing w:before="0"/>
        <w:ind w:left="0" w:right="0" w:firstLine="0"/>
        <w:jc w:val="center"/>
      </w:pPr>
      <w:r>
        <w:rPr>
          <w:lang w:val="en-GB"/>
        </w:rPr>
        <w:drawing>
          <wp:inline xmlns:a="http://schemas.openxmlformats.org/drawingml/2006/main">
            <wp:extent cx="5303520" cy="6601549"/>
            <wp:docPr id="2" name="Picture 2" descr="Flow diagram reconstructing the public cohort and primary predictive analysis set" title="Flow diagram reconstructing the public cohort and primary predictive analysis se"/>
            <wp:cNvGraphicFramePr>
              <a:graphicFrameLocks noChangeAspect="1"/>
            </wp:cNvGraphicFramePr>
            <a:graphic>
              <a:graphicData uri="http://schemas.openxmlformats.org/drawingml/2006/picture">
                <pic:pic>
                  <pic:nvPicPr>
                    <pic:cNvPr id="0" name="rId22.png"/>
                    <pic:cNvPicPr/>
                  </pic:nvPicPr>
                  <pic:blipFill>
                    <a:blip r:embed="rId17"/>
                    <a:stretch>
                      <a:fillRect/>
                    </a:stretch>
                  </pic:blipFill>
                  <pic:spPr>
                    <a:xfrm>
                      <a:off x="0" y="0"/>
                      <a:ext cx="5303520" cy="6601549"/>
                    </a:xfrm>
                    <a:prstGeom prst="rect"/>
                  </pic:spPr>
                </pic:pic>
              </a:graphicData>
            </a:graphic>
          </wp:inline>
        </w:drawing>
      </w:r>
    </w:p>
    <w:p>
      <w:pPr>
        <w:pStyle w:val="MDPI51figurecaption"/>
        <w:keepNext/>
      </w:pPr>
      <w:r>
        <w:rPr>
          <w:lang w:val="en-GB"/>
        </w:rPr>
        <w:t>Figure 2. Reconstruction of the analysis cohort from the public source worksheet. The flow diagram reproduces the prespecified count checks and distinguishes the primary predictive cohort from records excluded before modelling. Microbiome and imaging branches were not executed for this analysis.</w:t>
      </w:r>
    </w:p>
    <w:p>
      <w:pPr>
        <w:pStyle w:val="MDPI22heading2"/>
        <w:keepNext/>
      </w:pPr>
      <w:r>
        <w:rPr>
          <w:lang w:val="en-GB"/>
        </w:rPr>
        <w:t>3.2. Internal Predictive Performance</w:t>
      </w:r>
    </w:p>
    <w:p>
      <w:pPr>
        <w:pStyle w:val="MDPI31text"/>
      </w:pPr>
      <w:r>
        <w:rPr>
          <w:lang w:val="en-GB"/>
        </w:rPr>
        <w:t>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MDPI41tablecaption"/>
        <w:keepNext/>
      </w:pPr>
      <w:r>
        <w:rPr>
          <w:lang w:val="en-GB"/>
        </w:rPr>
        <w:t>Table 2. Child-grouped pooled out-of-fold predictive performance in the public clinical cohort (996 transitions; 83 events).</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Average precision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AUROC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 (95% interval)</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clinical</w:t>
            </w:r>
          </w:p>
        </w:tc>
        <w:tc>
          <w:tcPr>
            <w:tcW w:type="dxa" w:w="2093"/>
            <w:vAlign w:val="center"/>
            <w:tcMar>
              <w:top w:w="80" w:type="dxa"/>
              <w:start w:w="80" w:type="dxa"/>
              <w:bottom w:w="80" w:type="dxa"/>
              <w:end w:w="80" w:type="dxa"/>
            </w:tcMar>
          </w:tcPr>
          <w:p>
            <w:pPr>
              <w:jc w:val="center"/>
            </w:pPr>
            <w:r>
              <w:rPr>
                <w:rFonts w:ascii="Palatino Linotype" w:hAnsi="Palatino Linotype"/>
                <w:sz w:val="18"/>
              </w:rPr>
              <w:t>0.166 (0.120–0.246)</w:t>
            </w:r>
          </w:p>
        </w:tc>
        <w:tc>
          <w:tcPr>
            <w:tcW w:type="dxa" w:w="2093"/>
            <w:vAlign w:val="center"/>
            <w:tcMar>
              <w:top w:w="80" w:type="dxa"/>
              <w:start w:w="80" w:type="dxa"/>
              <w:bottom w:w="80" w:type="dxa"/>
              <w:end w:w="80" w:type="dxa"/>
            </w:tcMar>
          </w:tcPr>
          <w:p>
            <w:pPr>
              <w:jc w:val="center"/>
            </w:pPr>
            <w:r>
              <w:rPr>
                <w:rFonts w:ascii="Palatino Linotype" w:hAnsi="Palatino Linotype"/>
                <w:sz w:val="18"/>
              </w:rPr>
              <w:t>0.686 (0.618–0.754)</w:t>
            </w:r>
          </w:p>
        </w:tc>
        <w:tc>
          <w:tcPr>
            <w:tcW w:type="dxa" w:w="2093"/>
            <w:vAlign w:val="center"/>
            <w:tcMar>
              <w:top w:w="80" w:type="dxa"/>
              <w:start w:w="80" w:type="dxa"/>
              <w:bottom w:w="80" w:type="dxa"/>
              <w:end w:w="80" w:type="dxa"/>
            </w:tcMar>
          </w:tcPr>
          <w:p>
            <w:pPr>
              <w:jc w:val="center"/>
            </w:pPr>
            <w:r>
              <w:rPr>
                <w:rFonts w:ascii="Palatino Linotype" w:hAnsi="Palatino Linotype"/>
                <w:sz w:val="18"/>
              </w:rPr>
              <w:t>0.0806 (0.0624–0.0996)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Clinical plus spatial</w:t>
            </w:r>
          </w:p>
        </w:tc>
        <w:tc>
          <w:tcPr>
            <w:tcW w:type="dxa" w:w="2093"/>
            <w:vAlign w:val="center"/>
            <w:tcMar>
              <w:top w:w="80" w:type="dxa"/>
              <w:start w:w="80" w:type="dxa"/>
              <w:bottom w:w="80" w:type="dxa"/>
              <w:end w:w="80" w:type="dxa"/>
            </w:tcMar>
          </w:tcPr>
          <w:p>
            <w:pPr>
              <w:jc w:val="center"/>
            </w:pPr>
            <w:r>
              <w:rPr>
                <w:rFonts w:ascii="Palatino Linotype" w:hAnsi="Palatino Linotype"/>
                <w:sz w:val="18"/>
              </w:rPr>
              <w:t>0.178 (0.138–0.239)</w:t>
            </w:r>
          </w:p>
        </w:tc>
        <w:tc>
          <w:tcPr>
            <w:tcW w:type="dxa" w:w="2093"/>
            <w:vAlign w:val="center"/>
            <w:tcMar>
              <w:top w:w="80" w:type="dxa"/>
              <w:start w:w="80" w:type="dxa"/>
              <w:bottom w:w="80" w:type="dxa"/>
              <w:end w:w="80" w:type="dxa"/>
            </w:tcMar>
          </w:tcPr>
          <w:p>
            <w:pPr>
              <w:jc w:val="center"/>
            </w:pPr>
            <w:r>
              <w:rPr>
                <w:rFonts w:ascii="Palatino Linotype" w:hAnsi="Palatino Linotype"/>
                <w:sz w:val="18"/>
              </w:rPr>
              <w:t>0.737 (0.660–0.804)</w:t>
            </w:r>
          </w:p>
        </w:tc>
        <w:tc>
          <w:tcPr>
            <w:tcW w:type="dxa" w:w="2093"/>
            <w:vAlign w:val="center"/>
            <w:tcMar>
              <w:top w:w="80" w:type="dxa"/>
              <w:start w:w="80" w:type="dxa"/>
              <w:bottom w:w="80" w:type="dxa"/>
              <w:end w:w="80" w:type="dxa"/>
            </w:tcMar>
          </w:tcPr>
          <w:p>
            <w:pPr>
              <w:jc w:val="center"/>
            </w:pPr>
            <w:r>
              <w:rPr>
                <w:rFonts w:ascii="Palatino Linotype" w:hAnsi="Palatino Linotype"/>
                <w:sz w:val="18"/>
              </w:rPr>
              <w:t>0.0754 (0.0574–0.0949)</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Fold-specific training prevalence</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w:t>
            </w:r>
          </w:p>
        </w:tc>
        <w:tc>
          <w:tcPr>
            <w:tcW w:type="dxa" w:w="2093"/>
            <w:vAlign w:val="center"/>
            <w:tcMar>
              <w:top w:w="80" w:type="dxa"/>
              <w:start w:w="80" w:type="dxa"/>
              <w:bottom w:w="80" w:type="dxa"/>
              <w:end w:w="80" w:type="dxa"/>
            </w:tcMar>
          </w:tcPr>
          <w:p>
            <w:pPr>
              <w:jc w:val="center"/>
            </w:pPr>
            <w:r>
              <w:rPr>
                <w:rFonts w:ascii="Palatino Linotype" w:hAnsi="Palatino Linotype"/>
                <w:sz w:val="18"/>
              </w:rPr>
              <w:t>0.0764</w:t>
            </w:r>
          </w:p>
        </w:tc>
        <w:tc>
          <w:tcPr>
            <w:tcW w:type="dxa" w:w="2093"/>
            <w:vAlign w:val="center"/>
            <w:tcMar>
              <w:top w:w="80" w:type="dxa"/>
              <w:start w:w="80" w:type="dxa"/>
              <w:bottom w:w="80" w:type="dxa"/>
              <w:end w:w="80" w:type="dxa"/>
            </w:tcMar>
          </w:tcPr>
          <w:p>
            <w:pPr>
              <w:jc w:val="center"/>
            </w:pPr>
            <w:r>
              <w:rPr>
                <w:rFonts w:ascii="Palatino Linotype" w:hAnsi="Palatino Linotype"/>
                <w:sz w:val="18"/>
              </w:rPr>
              <w:t>0.2869</w:t>
            </w:r>
          </w:p>
        </w:tc>
      </w:tr>
    </w:tbl>
    <w:p>
      <w:pPr>
        <w:pStyle w:val="MDPI43tablefooter"/>
      </w:pPr>
      <w:r>
        <w:rPr>
          <w:lang w:val="en-GB"/>
        </w:rPr>
        <w:t>Intervals are child-cluster bootstrap percentile intervals where reported. These are internal-validation estimates, not external validation.</w:t>
      </w:r>
    </w:p>
    <w:p>
      <w:pPr>
        <w:pStyle w:val="MDPI32textnoindent"/>
        <w:spacing w:before="0"/>
        <w:ind w:left="0" w:right="0" w:firstLine="0"/>
        <w:jc w:val="center"/>
      </w:pPr>
      <w:r>
        <w:rPr>
          <w:lang w:val="en-GB"/>
        </w:rPr>
        <w:drawing>
          <wp:inline xmlns:a="http://schemas.openxmlformats.org/drawingml/2006/main">
            <wp:extent cx="5303520" cy="2090115"/>
            <wp:docPr id="3" name="Picture 3" descr="Precision-recall and ROC curves for the minimal clinical and clinical-plus-spatial models" title="Precision-recall and ROC curves for the minimal clinical and clinical-plus-spati"/>
            <wp:cNvGraphicFramePr>
              <a:graphicFrameLocks noChangeAspect="1"/>
            </wp:cNvGraphicFramePr>
            <a:graphic>
              <a:graphicData uri="http://schemas.openxmlformats.org/drawingml/2006/picture">
                <pic:pic>
                  <pic:nvPicPr>
                    <pic:cNvPr id="0" name="rId26.png"/>
                    <pic:cNvPicPr/>
                  </pic:nvPicPr>
                  <pic:blipFill>
                    <a:blip r:embed="rId18"/>
                    <a:stretch>
                      <a:fillRect/>
                    </a:stretch>
                  </pic:blipFill>
                  <pic:spPr>
                    <a:xfrm>
                      <a:off x="0" y="0"/>
                      <a:ext cx="5303520" cy="2090115"/>
                    </a:xfrm>
                    <a:prstGeom prst="rect"/>
                  </pic:spPr>
                </pic:pic>
              </a:graphicData>
            </a:graphic>
          </wp:inline>
        </w:drawing>
      </w:r>
    </w:p>
    <w:p>
      <w:pPr>
        <w:pStyle w:val="MDPI51figurecaption"/>
        <w:keepNext/>
      </w:pPr>
      <w:r>
        <w:rPr>
          <w:lang w:val="en-GB"/>
        </w:rPr>
        <w:t>Figure 3. Precision–recall and receiver-operating-characteristic curves for the uncalibrated models under the corrected child-grouped split policy. Predictions were generated only for each child’s held-out outer fold. The horizontal precision reference is the event fraction (0.083), and the ROC diagonal denotes chance ranking.</w:t>
      </w:r>
    </w:p>
    <w:p>
      <w:pPr>
        <w:pStyle w:val="MDPI22heading2"/>
        <w:keepNext/>
      </w:pPr>
      <w:r>
        <w:rPr>
          <w:lang w:val="en-GB"/>
        </w:rPr>
        <w:t>3.3. Calibration and Model Comparison</w:t>
      </w:r>
    </w:p>
    <w:p>
      <w:pPr>
        <w:pStyle w:val="MDPI31text"/>
      </w:pPr>
      <w:r>
        <w:rPr>
          <w:lang w:val="en-GB"/>
        </w:rPr>
        <w:t>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MDPI31text"/>
      </w:pPr>
      <w:r>
        <w:rPr>
          <w:lang w:val="en-GB"/>
        </w:rPr>
        <w:t>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MDPI41tablecaption"/>
        <w:keepNext/>
      </w:pPr>
      <w:r>
        <w:rPr>
          <w:lang w:val="en-GB"/>
        </w:rPr>
        <w:t>Table 3. Held-out probability assessment before and after recalibration fitted only on outer-training children.</w:t>
      </w:r>
    </w:p>
    <w:tbl>
      <w:tblPr>
        <w:tblStyle w:val="TableGrid"/>
        <w:tblW w:type="auto" w:w="0"/>
        <w:jc w:val="center"/>
        <w:tblLayout w:type="autofit"/>
        <w:tblLook w:firstColumn="1" w:firstRow="1" w:lastColumn="0" w:lastRow="0" w:noHBand="0" w:noVBand="1" w:val="04A0"/>
      </w:tblPr>
      <w:tblGrid>
        <w:gridCol w:w="2093"/>
        <w:gridCol w:w="2093"/>
        <w:gridCol w:w="2093"/>
        <w:gridCol w:w="2093"/>
        <w:gridCol w:w="2093"/>
      </w:tblGrid>
      <w:tr>
        <w:trPr>
          <w:tblHeader w:val="true"/>
        </w:trPr>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Model and probability version</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Mean risk</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Calibration slope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Brier score</w:t>
            </w:r>
          </w:p>
        </w:tc>
        <w:tc>
          <w:tcPr>
            <w:tcW w:type="dxa" w:w="2093"/>
            <w:vAlign w:val="center"/>
            <w:shd w:fill="E7EDF4"/>
            <w:tcMar>
              <w:top w:w="80" w:type="dxa"/>
              <w:start w:w="80" w:type="dxa"/>
              <w:bottom w:w="80" w:type="dxa"/>
              <w:end w:w="80" w:type="dxa"/>
            </w:tcMar>
          </w:tcPr>
          <w:p>
            <w:pPr>
              <w:jc w:val="center"/>
            </w:pPr>
            <w:r>
              <w:rPr>
                <w:rFonts w:ascii="Palatino Linotype" w:hAnsi="Palatino Linotype"/>
                <w:b/>
                <w:sz w:val="18"/>
              </w:rPr>
              <w:t>Log loss</w:t>
            </w:r>
          </w:p>
        </w:tc>
      </w:tr>
      <w:tr>
        <w:tc>
          <w:tcPr>
            <w:tcW w:type="dxa" w:w="2093"/>
            <w:vAlign w:val="center"/>
            <w:tcMar>
              <w:top w:w="80" w:type="dxa"/>
              <w:start w:w="80" w:type="dxa"/>
              <w:bottom w:w="80" w:type="dxa"/>
              <w:end w:w="80" w:type="dxa"/>
            </w:tcMar>
          </w:tcPr>
          <w:p>
            <w:r>
              <w:rPr>
                <w:rFonts w:ascii="Palatino Linotype" w:hAnsi="Palatino Linotype"/>
                <w:sz w:val="18"/>
              </w:rPr>
              <w:t>Minimal,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0.1182</w:t>
            </w:r>
          </w:p>
        </w:tc>
        <w:tc>
          <w:tcPr>
            <w:tcW w:type="dxa" w:w="2093"/>
            <w:vAlign w:val="center"/>
            <w:tcMar>
              <w:top w:w="80" w:type="dxa"/>
              <w:start w:w="80" w:type="dxa"/>
              <w:bottom w:w="80" w:type="dxa"/>
              <w:end w:w="80" w:type="dxa"/>
            </w:tcMar>
          </w:tcPr>
          <w:p>
            <w:pPr>
              <w:jc w:val="center"/>
            </w:pPr>
            <w:r>
              <w:rPr>
                <w:rFonts w:ascii="Palatino Linotype" w:hAnsi="Palatino Linotype"/>
                <w:sz w:val="18"/>
              </w:rPr>
              <w:t>0.516</w:t>
            </w:r>
          </w:p>
        </w:tc>
        <w:tc>
          <w:tcPr>
            <w:tcW w:type="dxa" w:w="2093"/>
            <w:vAlign w:val="center"/>
            <w:tcMar>
              <w:top w:w="80" w:type="dxa"/>
              <w:start w:w="80" w:type="dxa"/>
              <w:bottom w:w="80" w:type="dxa"/>
              <w:end w:w="80" w:type="dxa"/>
            </w:tcMar>
          </w:tcPr>
          <w:p>
            <w:pPr>
              <w:jc w:val="center"/>
            </w:pPr>
            <w:r>
              <w:rPr>
                <w:rFonts w:ascii="Palatino Linotype" w:hAnsi="Palatino Linotype"/>
                <w:sz w:val="18"/>
              </w:rPr>
              <w:t>0.0806</w:t>
            </w:r>
          </w:p>
        </w:tc>
        <w:tc>
          <w:tcPr>
            <w:tcW w:type="dxa" w:w="2093"/>
            <w:vAlign w:val="center"/>
            <w:tcMar>
              <w:top w:w="80" w:type="dxa"/>
              <w:start w:w="80" w:type="dxa"/>
              <w:bottom w:w="80" w:type="dxa"/>
              <w:end w:w="80" w:type="dxa"/>
            </w:tcMar>
          </w:tcPr>
          <w:p>
            <w:pPr>
              <w:jc w:val="center"/>
            </w:pPr>
            <w:r>
              <w:rPr>
                <w:rFonts w:ascii="Palatino Linotype" w:hAnsi="Palatino Linotype"/>
                <w:sz w:val="18"/>
              </w:rPr>
              <w:t>0.2884</w:t>
            </w:r>
          </w:p>
        </w:tc>
      </w:tr>
      <w:tr>
        <w:tc>
          <w:tcPr>
            <w:tcW w:type="dxa" w:w="2093"/>
            <w:vAlign w:val="center"/>
            <w:tcMar>
              <w:top w:w="80" w:type="dxa"/>
              <w:start w:w="80" w:type="dxa"/>
              <w:bottom w:w="80" w:type="dxa"/>
              <w:end w:w="80" w:type="dxa"/>
            </w:tcMar>
          </w:tcPr>
          <w:p>
            <w:r>
              <w:rPr>
                <w:rFonts w:ascii="Palatino Linotype" w:hAnsi="Palatino Linotype"/>
                <w:sz w:val="18"/>
              </w:rPr>
              <w:t>Minimal,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0.0819</w:t>
            </w:r>
          </w:p>
        </w:tc>
        <w:tc>
          <w:tcPr>
            <w:tcW w:type="dxa" w:w="2093"/>
            <w:vAlign w:val="center"/>
            <w:tcMar>
              <w:top w:w="80" w:type="dxa"/>
              <w:start w:w="80" w:type="dxa"/>
              <w:bottom w:w="80" w:type="dxa"/>
              <w:end w:w="80" w:type="dxa"/>
            </w:tcMar>
          </w:tcPr>
          <w:p>
            <w:pPr>
              <w:jc w:val="center"/>
            </w:pPr>
            <w:r>
              <w:rPr>
                <w:rFonts w:ascii="Palatino Linotype" w:hAnsi="Palatino Linotype"/>
                <w:sz w:val="18"/>
              </w:rPr>
              <w:t>0.613</w:t>
            </w:r>
          </w:p>
        </w:tc>
        <w:tc>
          <w:tcPr>
            <w:tcW w:type="dxa" w:w="2093"/>
            <w:vAlign w:val="center"/>
            <w:tcMar>
              <w:top w:w="80" w:type="dxa"/>
              <w:start w:w="80" w:type="dxa"/>
              <w:bottom w:w="80" w:type="dxa"/>
              <w:end w:w="80" w:type="dxa"/>
            </w:tcMar>
          </w:tcPr>
          <w:p>
            <w:pPr>
              <w:jc w:val="center"/>
            </w:pPr>
            <w:r>
              <w:rPr>
                <w:rFonts w:ascii="Palatino Linotype" w:hAnsi="Palatino Linotype"/>
                <w:sz w:val="18"/>
              </w:rPr>
              <w:t>0.0762</w:t>
            </w:r>
          </w:p>
        </w:tc>
        <w:tc>
          <w:tcPr>
            <w:tcW w:type="dxa" w:w="2093"/>
            <w:vAlign w:val="center"/>
            <w:tcMar>
              <w:top w:w="80" w:type="dxa"/>
              <w:start w:w="80" w:type="dxa"/>
              <w:bottom w:w="80" w:type="dxa"/>
              <w:end w:w="80" w:type="dxa"/>
            </w:tcMar>
          </w:tcPr>
          <w:p>
            <w:pPr>
              <w:jc w:val="center"/>
            </w:pPr>
            <w:r>
              <w:rPr>
                <w:rFonts w:ascii="Palatino Linotype" w:hAnsi="Palatino Linotype"/>
                <w:sz w:val="18"/>
              </w:rPr>
              <w:t>0.2730</w:t>
            </w:r>
          </w:p>
        </w:tc>
      </w:tr>
      <w:tr>
        <w:tc>
          <w:tcPr>
            <w:tcW w:type="dxa" w:w="2093"/>
            <w:vAlign w:val="center"/>
            <w:tcMar>
              <w:top w:w="80" w:type="dxa"/>
              <w:start w:w="80" w:type="dxa"/>
              <w:bottom w:w="80" w:type="dxa"/>
              <w:end w:w="80" w:type="dxa"/>
            </w:tcMar>
          </w:tcPr>
          <w:p>
            <w:r>
              <w:rPr>
                <w:rFonts w:ascii="Palatino Linotype" w:hAnsi="Palatino Linotype"/>
                <w:sz w:val="18"/>
              </w:rPr>
              <w:t>Minimal,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0.0802</w:t>
            </w:r>
          </w:p>
        </w:tc>
        <w:tc>
          <w:tcPr>
            <w:tcW w:type="dxa" w:w="2093"/>
            <w:vAlign w:val="center"/>
            <w:tcMar>
              <w:top w:w="80" w:type="dxa"/>
              <w:start w:w="80" w:type="dxa"/>
              <w:bottom w:w="80" w:type="dxa"/>
              <w:end w:w="80" w:type="dxa"/>
            </w:tcMar>
          </w:tcPr>
          <w:p>
            <w:pPr>
              <w:jc w:val="center"/>
            </w:pPr>
            <w:r>
              <w:rPr>
                <w:rFonts w:ascii="Palatino Linotype" w:hAnsi="Palatino Linotype"/>
                <w:sz w:val="18"/>
              </w:rPr>
              <w:t>0.808</w:t>
            </w:r>
          </w:p>
        </w:tc>
        <w:tc>
          <w:tcPr>
            <w:tcW w:type="dxa" w:w="2093"/>
            <w:vAlign w:val="center"/>
            <w:tcMar>
              <w:top w:w="80" w:type="dxa"/>
              <w:start w:w="80" w:type="dxa"/>
              <w:bottom w:w="80" w:type="dxa"/>
              <w:end w:w="80" w:type="dxa"/>
            </w:tcMar>
          </w:tcPr>
          <w:p>
            <w:pPr>
              <w:jc w:val="center"/>
            </w:pPr>
            <w:r>
              <w:rPr>
                <w:rFonts w:ascii="Palatino Linotype" w:hAnsi="Palatino Linotype"/>
                <w:sz w:val="18"/>
              </w:rPr>
              <w:t>0.0745</w:t>
            </w:r>
          </w:p>
        </w:tc>
        <w:tc>
          <w:tcPr>
            <w:tcW w:type="dxa" w:w="2093"/>
            <w:vAlign w:val="center"/>
            <w:tcMar>
              <w:top w:w="80" w:type="dxa"/>
              <w:start w:w="80" w:type="dxa"/>
              <w:bottom w:w="80" w:type="dxa"/>
              <w:end w:w="80" w:type="dxa"/>
            </w:tcMar>
          </w:tcPr>
          <w:p>
            <w:pPr>
              <w:jc w:val="center"/>
            </w:pPr>
            <w:r>
              <w:rPr>
                <w:rFonts w:ascii="Palatino Linotype" w:hAnsi="Palatino Linotype"/>
                <w:sz w:val="18"/>
              </w:rPr>
              <w:t>0.2680</w:t>
            </w:r>
          </w:p>
        </w:tc>
      </w:tr>
      <w:tr>
        <w:tc>
          <w:tcPr>
            <w:tcW w:type="dxa" w:w="2093"/>
            <w:vAlign w:val="center"/>
            <w:tcMar>
              <w:top w:w="80" w:type="dxa"/>
              <w:start w:w="80" w:type="dxa"/>
              <w:bottom w:w="80" w:type="dxa"/>
              <w:end w:w="80" w:type="dxa"/>
            </w:tcMar>
          </w:tcPr>
          <w:p>
            <w:r>
              <w:rPr>
                <w:rFonts w:ascii="Palatino Linotype" w:hAnsi="Palatino Linotype"/>
                <w:sz w:val="18"/>
              </w:rPr>
              <w:t>Spatial, uncalibrated</w:t>
            </w:r>
          </w:p>
        </w:tc>
        <w:tc>
          <w:tcPr>
            <w:tcW w:type="dxa" w:w="2093"/>
            <w:vAlign w:val="center"/>
            <w:tcMar>
              <w:top w:w="80" w:type="dxa"/>
              <w:start w:w="80" w:type="dxa"/>
              <w:bottom w:w="80" w:type="dxa"/>
              <w:end w:w="80" w:type="dxa"/>
            </w:tcMar>
          </w:tcPr>
          <w:p>
            <w:pPr>
              <w:jc w:val="center"/>
            </w:pPr>
            <w:r>
              <w:rPr>
                <w:rFonts w:ascii="Palatino Linotype" w:hAnsi="Palatino Linotype"/>
                <w:sz w:val="18"/>
              </w:rPr>
              <w:t>0.0878</w:t>
            </w:r>
          </w:p>
        </w:tc>
        <w:tc>
          <w:tcPr>
            <w:tcW w:type="dxa" w:w="2093"/>
            <w:vAlign w:val="center"/>
            <w:tcMar>
              <w:top w:w="80" w:type="dxa"/>
              <w:start w:w="80" w:type="dxa"/>
              <w:bottom w:w="80" w:type="dxa"/>
              <w:end w:w="80" w:type="dxa"/>
            </w:tcMar>
          </w:tcPr>
          <w:p>
            <w:pPr>
              <w:jc w:val="center"/>
            </w:pPr>
            <w:r>
              <w:rPr>
                <w:rFonts w:ascii="Palatino Linotype" w:hAnsi="Palatino Linotype"/>
                <w:sz w:val="18"/>
              </w:rPr>
              <w:t>0.605</w:t>
            </w:r>
          </w:p>
        </w:tc>
        <w:tc>
          <w:tcPr>
            <w:tcW w:type="dxa" w:w="2093"/>
            <w:vAlign w:val="center"/>
            <w:tcMar>
              <w:top w:w="80" w:type="dxa"/>
              <w:start w:w="80" w:type="dxa"/>
              <w:bottom w:w="80" w:type="dxa"/>
              <w:end w:w="80" w:type="dxa"/>
            </w:tcMar>
          </w:tcPr>
          <w:p>
            <w:pPr>
              <w:jc w:val="center"/>
            </w:pPr>
            <w:r>
              <w:rPr>
                <w:rFonts w:ascii="Palatino Linotype" w:hAnsi="Palatino Linotype"/>
                <w:sz w:val="18"/>
              </w:rPr>
              <w:t>0.0754</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only</w:t>
            </w:r>
          </w:p>
        </w:tc>
        <w:tc>
          <w:tcPr>
            <w:tcW w:type="dxa" w:w="2093"/>
            <w:vAlign w:val="center"/>
            <w:tcMar>
              <w:top w:w="80" w:type="dxa"/>
              <w:start w:w="80" w:type="dxa"/>
              <w:bottom w:w="80" w:type="dxa"/>
              <w:end w:w="80" w:type="dxa"/>
            </w:tcMar>
          </w:tcPr>
          <w:p>
            <w:pPr>
              <w:jc w:val="center"/>
            </w:pPr>
            <w:r>
              <w:rPr>
                <w:rFonts w:ascii="Palatino Linotype" w:hAnsi="Palatino Linotype"/>
                <w:sz w:val="18"/>
              </w:rPr>
              <w:t>0.0810</w:t>
            </w:r>
          </w:p>
        </w:tc>
        <w:tc>
          <w:tcPr>
            <w:tcW w:type="dxa" w:w="2093"/>
            <w:vAlign w:val="center"/>
            <w:tcMar>
              <w:top w:w="80" w:type="dxa"/>
              <w:start w:w="80" w:type="dxa"/>
              <w:bottom w:w="80" w:type="dxa"/>
              <w:end w:w="80" w:type="dxa"/>
            </w:tcMar>
          </w:tcPr>
          <w:p>
            <w:pPr>
              <w:jc w:val="center"/>
            </w:pPr>
            <w:r>
              <w:rPr>
                <w:rFonts w:ascii="Palatino Linotype" w:hAnsi="Palatino Linotype"/>
                <w:sz w:val="18"/>
              </w:rPr>
              <w:t>0.603</w:t>
            </w:r>
          </w:p>
        </w:tc>
        <w:tc>
          <w:tcPr>
            <w:tcW w:type="dxa" w:w="2093"/>
            <w:vAlign w:val="center"/>
            <w:tcMar>
              <w:top w:w="80" w:type="dxa"/>
              <w:start w:w="80" w:type="dxa"/>
              <w:bottom w:w="80" w:type="dxa"/>
              <w:end w:w="80" w:type="dxa"/>
            </w:tcMar>
          </w:tcPr>
          <w:p>
            <w:pPr>
              <w:jc w:val="center"/>
            </w:pPr>
            <w:r>
              <w:rPr>
                <w:rFonts w:ascii="Palatino Linotype" w:hAnsi="Palatino Linotype"/>
                <w:sz w:val="18"/>
              </w:rPr>
              <w:t>0.0753</w:t>
            </w:r>
          </w:p>
        </w:tc>
        <w:tc>
          <w:tcPr>
            <w:tcW w:type="dxa" w:w="2093"/>
            <w:vAlign w:val="center"/>
            <w:tcMar>
              <w:top w:w="80" w:type="dxa"/>
              <w:start w:w="80" w:type="dxa"/>
              <w:bottom w:w="80" w:type="dxa"/>
              <w:end w:w="80" w:type="dxa"/>
            </w:tcMar>
          </w:tcPr>
          <w:p>
            <w:pPr>
              <w:jc w:val="center"/>
            </w:pPr>
            <w:r>
              <w:rPr>
                <w:rFonts w:ascii="Palatino Linotype" w:hAnsi="Palatino Linotype"/>
                <w:sz w:val="18"/>
              </w:rPr>
              <w:t>0.2690</w:t>
            </w:r>
          </w:p>
        </w:tc>
      </w:tr>
      <w:tr>
        <w:tc>
          <w:tcPr>
            <w:tcW w:type="dxa" w:w="2093"/>
            <w:vAlign w:val="center"/>
            <w:tcMar>
              <w:top w:w="80" w:type="dxa"/>
              <w:start w:w="80" w:type="dxa"/>
              <w:bottom w:w="80" w:type="dxa"/>
              <w:end w:w="80" w:type="dxa"/>
            </w:tcMar>
          </w:tcPr>
          <w:p>
            <w:r>
              <w:rPr>
                <w:rFonts w:ascii="Palatino Linotype" w:hAnsi="Palatino Linotype"/>
                <w:sz w:val="18"/>
              </w:rPr>
              <w:t>Spatial, intercept and slope</w:t>
            </w:r>
          </w:p>
        </w:tc>
        <w:tc>
          <w:tcPr>
            <w:tcW w:type="dxa" w:w="2093"/>
            <w:vAlign w:val="center"/>
            <w:tcMar>
              <w:top w:w="80" w:type="dxa"/>
              <w:start w:w="80" w:type="dxa"/>
              <w:bottom w:w="80" w:type="dxa"/>
              <w:end w:w="80" w:type="dxa"/>
            </w:tcMar>
          </w:tcPr>
          <w:p>
            <w:pPr>
              <w:jc w:val="center"/>
            </w:pPr>
            <w:r>
              <w:rPr>
                <w:rFonts w:ascii="Palatino Linotype" w:hAnsi="Palatino Linotype"/>
                <w:sz w:val="18"/>
              </w:rPr>
              <w:t>0.0827</w:t>
            </w:r>
          </w:p>
        </w:tc>
        <w:tc>
          <w:tcPr>
            <w:tcW w:type="dxa" w:w="2093"/>
            <w:vAlign w:val="center"/>
            <w:tcMar>
              <w:top w:w="80" w:type="dxa"/>
              <w:start w:w="80" w:type="dxa"/>
              <w:bottom w:w="80" w:type="dxa"/>
              <w:end w:w="80" w:type="dxa"/>
            </w:tcMar>
          </w:tcPr>
          <w:p>
            <w:pPr>
              <w:jc w:val="center"/>
            </w:pPr>
            <w:r>
              <w:rPr>
                <w:rFonts w:ascii="Palatino Linotype" w:hAnsi="Palatino Linotype"/>
                <w:sz w:val="18"/>
              </w:rPr>
              <w:t>0.811</w:t>
            </w:r>
          </w:p>
        </w:tc>
        <w:tc>
          <w:tcPr>
            <w:tcW w:type="dxa" w:w="2093"/>
            <w:vAlign w:val="center"/>
            <w:tcMar>
              <w:top w:w="80" w:type="dxa"/>
              <w:start w:w="80" w:type="dxa"/>
              <w:bottom w:w="80" w:type="dxa"/>
              <w:end w:w="80" w:type="dxa"/>
            </w:tcMar>
          </w:tcPr>
          <w:p>
            <w:pPr>
              <w:jc w:val="center"/>
            </w:pPr>
            <w:r>
              <w:rPr>
                <w:rFonts w:ascii="Palatino Linotype" w:hAnsi="Palatino Linotype"/>
                <w:sz w:val="18"/>
              </w:rPr>
              <w:t>0.0740</w:t>
            </w:r>
          </w:p>
        </w:tc>
        <w:tc>
          <w:tcPr>
            <w:tcW w:type="dxa" w:w="2093"/>
            <w:vAlign w:val="center"/>
            <w:tcMar>
              <w:top w:w="80" w:type="dxa"/>
              <w:start w:w="80" w:type="dxa"/>
              <w:bottom w:w="80" w:type="dxa"/>
              <w:end w:w="80" w:type="dxa"/>
            </w:tcMar>
          </w:tcPr>
          <w:p>
            <w:pPr>
              <w:jc w:val="center"/>
            </w:pPr>
            <w:r>
              <w:rPr>
                <w:rFonts w:ascii="Palatino Linotype" w:hAnsi="Palatino Linotype"/>
                <w:sz w:val="18"/>
              </w:rPr>
              <w:t>0.2638</w:t>
            </w:r>
          </w:p>
        </w:tc>
      </w:tr>
    </w:tbl>
    <w:p>
      <w:pPr>
        <w:pStyle w:val="MDPI43tablefooter"/>
      </w:pPr>
      <w:r>
        <w:rPr>
          <w:lang w:val="en-GB"/>
        </w:rPr>
        <w:t>Observed event fraction = 0.0833. Calibration slopes were estimated from held-out predictions; paired uncertainty for Brier changes is reported in the text.</w:t>
      </w:r>
    </w:p>
    <w:p>
      <w:pPr>
        <w:pStyle w:val="MDPI32textnoindent"/>
        <w:spacing w:before="0"/>
        <w:ind w:left="0" w:right="0" w:firstLine="0"/>
        <w:jc w:val="center"/>
      </w:pPr>
      <w:r>
        <w:rPr>
          <w:lang w:val="en-GB"/>
        </w:rPr>
        <w:drawing>
          <wp:inline xmlns:a="http://schemas.openxmlformats.org/drawingml/2006/main">
            <wp:extent cx="5303520" cy="2090450"/>
            <wp:docPr id="4" name="Picture 4" descr="Eight-bin calibration plots comparing uncalibrated and training-only recalibrated predictions" title="Eight-bin calibration plots comparing uncalibrated and training-only recalibrate"/>
            <wp:cNvGraphicFramePr>
              <a:graphicFrameLocks noChangeAspect="1"/>
            </wp:cNvGraphicFramePr>
            <a:graphic>
              <a:graphicData uri="http://schemas.openxmlformats.org/drawingml/2006/picture">
                <pic:pic>
                  <pic:nvPicPr>
                    <pic:cNvPr id="0" name="rId30.png"/>
                    <pic:cNvPicPr/>
                  </pic:nvPicPr>
                  <pic:blipFill>
                    <a:blip r:embed="rId19"/>
                    <a:stretch>
                      <a:fillRect/>
                    </a:stretch>
                  </pic:blipFill>
                  <pic:spPr>
                    <a:xfrm>
                      <a:off x="0" y="0"/>
                      <a:ext cx="5303520" cy="2090450"/>
                    </a:xfrm>
                    <a:prstGeom prst="rect"/>
                  </pic:spPr>
                </pic:pic>
              </a:graphicData>
            </a:graphic>
          </wp:inline>
        </w:drawing>
      </w:r>
    </w:p>
    <w:p>
      <w:pPr>
        <w:pStyle w:val="MDPI51figurecaption"/>
        <w:keepNext/>
      </w:pPr>
      <w:r>
        <w:rPr>
          <w:lang w:val="en-GB"/>
        </w:rPr>
        <w:t>Figure 4. Descriptive eight-bin calibration plots for uncalibrated, intercept-updated, and intercept-and-slope-updated held-out predictions. The 45° diagonal denotes perfect calibration. Because grouped points can obscure local miscalibration, this figure is descriptive and does not substitute for a smoothed calibration curve in the planned external validation.</w:t>
      </w:r>
    </w:p>
    <w:p>
      <w:pPr>
        <w:pStyle w:val="MDPI22heading2"/>
        <w:keepNext/>
      </w:pPr>
      <w:r>
        <w:rPr>
          <w:lang w:val="en-GB"/>
        </w:rPr>
        <w:t>3.4. Outcome Events by Tooth Position</w:t>
      </w:r>
    </w:p>
    <w:p>
      <w:pPr>
        <w:pStyle w:val="MDPI31text"/>
      </w:pPr>
      <w:r>
        <w:rPr>
          <w:lang w:val="en-GB"/>
        </w:rPr>
        <w:t>Outcome events were not distributed evenly across the dentition. All 83 events in the analysis cohort occurred in the eight primary molar positions (T54, T55, T64, T65, T74, T75, T84, T85); the 181 anterior-tooth transitions contributed no events (Table 4, Figure 4). Position-specific event fractions ranged from 0.028 to 0.165, with the highest values in second primary molars and first molars. Because anterior teeth have an event fraction of exactly zero in this cohort, tooth_position separates a structurally risk-free subpopulation from the remainder rather than merely adjusting for nuisance variation. This is a property of the source data, not a modelling artefact, and it has three consequences for interpretation.</w:t>
      </w:r>
    </w:p>
    <w:p>
      <w:pPr>
        <w:pStyle w:val="MDPI31text"/>
      </w:pPr>
      <w:r>
        <w:rPr>
          <w:lang w:val="en-GB"/>
        </w:rPr>
        <w:t>First, the reported predictive performance is conditional on a cohort in which the minority-group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outcome was available. Third, the comparison between the minimal and clinical-spatial models is partly driven by this position structure, which both feature sets encode.</w:t>
      </w:r>
    </w:p>
    <w:p>
      <w:pPr>
        <w:pStyle w:val="MDPI31text"/>
      </w:pPr>
      <w:r>
        <w:rPr>
          <w:lang w:val="en-GB"/>
        </w:rPr>
        <w:t>Third, the zero-event anterior subgroup makes tooth position a strong structural discriminator in this cohort. Consequently, any apparent performance that depends on this distribution may deteriorate in populations with anterior-tooth caries. This feature should therefore be examined explicitly during external validation and should not be interpreted as evidence that anterior teeth are intrinsically risk-free.</w:t>
      </w:r>
    </w:p>
    <w:p>
      <w:pPr>
        <w:pStyle w:val="MDPI32textnoindent"/>
        <w:spacing w:before="0"/>
        <w:ind w:left="0" w:right="0" w:firstLine="0"/>
        <w:jc w:val="center"/>
      </w:pPr>
      <w:r>
        <w:rPr>
          <w:lang w:val="en-GB"/>
        </w:rPr>
        <w:drawing>
          <wp:inline xmlns:a="http://schemas.openxmlformats.org/drawingml/2006/main">
            <wp:extent cx="5303520" cy="3977640"/>
            <wp:docPr id="5" name="Picture 5" descr="Tooth-position distribution of transitions and healthy-to-carious events" title="Tooth-position distribution of transitions and healthy-to-carious events"/>
            <wp:cNvGraphicFramePr>
              <a:graphicFrameLocks noChangeAspect="1"/>
            </wp:cNvGraphicFramePr>
            <a:graphic>
              <a:graphicData uri="http://schemas.openxmlformats.org/drawingml/2006/picture">
                <pic:pic>
                  <pic:nvPicPr>
                    <pic:cNvPr id="0" name="rId34.png"/>
                    <pic:cNvPicPr/>
                  </pic:nvPicPr>
                  <pic:blipFill>
                    <a:blip r:embed="rId20"/>
                    <a:stretch>
                      <a:fillRect/>
                    </a:stretch>
                  </pic:blipFill>
                  <pic:spPr>
                    <a:xfrm>
                      <a:off x="0" y="0"/>
                      <a:ext cx="5303520" cy="3977640"/>
                    </a:xfrm>
                    <a:prstGeom prst="rect"/>
                  </pic:spPr>
                </pic:pic>
              </a:graphicData>
            </a:graphic>
          </wp:inline>
        </w:drawing>
      </w:r>
    </w:p>
    <w:p>
      <w:pPr>
        <w:pStyle w:val="MDPI51figurecaption"/>
        <w:keepNext/>
      </w:pPr>
      <w:r>
        <w:rPr>
          <w:lang w:val="en-GB"/>
        </w:rPr>
        <w:t>Figure 5. Distribution of training transitions and observed healthy-to-carious events by tooth position in the 996-transition analysis cohort. Panel (a) displays anatomically arranged primary-tooth positions, with marker size proportional to the number of transitions and fill representing the observed event fraction; positions with at least one event are outlined. Panel (b) shows the same positions in the source coordinate system. The figure represents tabular tooth-position data and not radiographic anatomy.</w:t>
      </w:r>
    </w:p>
    <w:p>
      <w:pPr>
        <w:pStyle w:val="MDPI41tablecaption"/>
        <w:keepNext/>
      </w:pPr>
      <w:r>
        <w:rPr>
          <w:lang w:val="en-GB"/>
        </w:rPr>
        <w:t>Table 4. Transition counts and observed event fractions by tooth position in the primary analysis cohort.</w:t>
      </w:r>
    </w:p>
    <w:tbl>
      <w:tblPr>
        <w:tblStyle w:val="TableGrid"/>
        <w:tblW w:type="auto" w:w="0"/>
        <w:jc w:val="center"/>
        <w:tblLayout w:type="autofit"/>
        <w:tblLook w:firstColumn="1" w:firstRow="1" w:lastColumn="0" w:lastRow="0" w:noHBand="0" w:noVBand="1" w:val="04A0"/>
      </w:tblPr>
      <w:tblGrid>
        <w:gridCol w:w="2616"/>
        <w:gridCol w:w="2616"/>
        <w:gridCol w:w="2616"/>
        <w:gridCol w:w="2616"/>
      </w:tblGrid>
      <w:tr>
        <w:trPr>
          <w:tblHeader w:val="true"/>
        </w:trPr>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Tooth position</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Transitions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Events</w:t>
            </w:r>
          </w:p>
        </w:tc>
        <w:tc>
          <w:tcPr>
            <w:tcW w:type="dxa" w:w="2616"/>
            <w:vAlign w:val="center"/>
            <w:shd w:fill="E7EDF4"/>
            <w:tcMar>
              <w:top w:w="80" w:type="dxa"/>
              <w:start w:w="80" w:type="dxa"/>
              <w:bottom w:w="80" w:type="dxa"/>
              <w:end w:w="80" w:type="dxa"/>
            </w:tcMar>
          </w:tcPr>
          <w:p>
            <w:pPr>
              <w:jc w:val="center"/>
            </w:pPr>
            <w:r>
              <w:rPr>
                <w:rFonts w:ascii="Palatino Linotype" w:hAnsi="Palatino Linotype"/>
                <w:b/>
                <w:sz w:val="18"/>
              </w:rPr>
              <w:t>Event fraction</w:t>
            </w:r>
          </w:p>
        </w:tc>
      </w:tr>
      <w:tr>
        <w:tc>
          <w:tcPr>
            <w:tcW w:type="dxa" w:w="2616"/>
            <w:vAlign w:val="center"/>
            <w:tcMar>
              <w:top w:w="80" w:type="dxa"/>
              <w:start w:w="80" w:type="dxa"/>
              <w:bottom w:w="80" w:type="dxa"/>
              <w:end w:w="80" w:type="dxa"/>
            </w:tcMar>
          </w:tcPr>
          <w:p>
            <w:r>
              <w:rPr>
                <w:rFonts w:ascii="Palatino Linotype" w:hAnsi="Palatino Linotype"/>
                <w:sz w:val="18"/>
              </w:rPr>
              <w:t>T51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T54</w:t>
            </w:r>
          </w:p>
        </w:tc>
        <w:tc>
          <w:tcPr>
            <w:tcW w:type="dxa" w:w="2616"/>
            <w:vAlign w:val="center"/>
            <w:tcMar>
              <w:top w:w="80" w:type="dxa"/>
              <w:start w:w="80" w:type="dxa"/>
              <w:bottom w:w="80" w:type="dxa"/>
              <w:end w:w="80" w:type="dxa"/>
            </w:tcMar>
          </w:tcPr>
          <w:p>
            <w:pPr>
              <w:jc w:val="center"/>
            </w:pPr>
            <w:r>
              <w:rPr>
                <w:rFonts w:ascii="Palatino Linotype" w:hAnsi="Palatino Linotype"/>
                <w:sz w:val="18"/>
              </w:rPr>
              <w:t>98</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0.031</w:t>
            </w:r>
          </w:p>
        </w:tc>
      </w:tr>
      <w:tr>
        <w:tc>
          <w:tcPr>
            <w:tcW w:type="dxa" w:w="2616"/>
            <w:vAlign w:val="center"/>
            <w:tcMar>
              <w:top w:w="80" w:type="dxa"/>
              <w:start w:w="80" w:type="dxa"/>
              <w:bottom w:w="80" w:type="dxa"/>
              <w:end w:w="80" w:type="dxa"/>
            </w:tcMar>
          </w:tcPr>
          <w:p>
            <w:r>
              <w:rPr>
                <w:rFonts w:ascii="Palatino Linotype" w:hAnsi="Palatino Linotype"/>
                <w:sz w:val="18"/>
              </w:rPr>
              <w:t>T55</w:t>
            </w:r>
          </w:p>
        </w:tc>
        <w:tc>
          <w:tcPr>
            <w:tcW w:type="dxa" w:w="2616"/>
            <w:vAlign w:val="center"/>
            <w:tcMar>
              <w:top w:w="80" w:type="dxa"/>
              <w:start w:w="80" w:type="dxa"/>
              <w:bottom w:w="80" w:type="dxa"/>
              <w:end w:w="80" w:type="dxa"/>
            </w:tcMar>
          </w:tcPr>
          <w:p>
            <w:pPr>
              <w:jc w:val="center"/>
            </w:pPr>
            <w:r>
              <w:rPr>
                <w:rFonts w:ascii="Palatino Linotype" w:hAnsi="Palatino Linotype"/>
                <w:sz w:val="18"/>
              </w:rPr>
              <w:t>122</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0.115</w:t>
            </w:r>
          </w:p>
        </w:tc>
      </w:tr>
      <w:tr>
        <w:tc>
          <w:tcPr>
            <w:tcW w:type="dxa" w:w="2616"/>
            <w:vAlign w:val="center"/>
            <w:tcMar>
              <w:top w:w="80" w:type="dxa"/>
              <w:start w:w="80" w:type="dxa"/>
              <w:bottom w:w="80" w:type="dxa"/>
              <w:end w:w="80" w:type="dxa"/>
            </w:tcMar>
          </w:tcPr>
          <w:p>
            <w:r>
              <w:rPr>
                <w:rFonts w:ascii="Palatino Linotype" w:hAnsi="Palatino Linotype"/>
                <w:sz w:val="18"/>
              </w:rPr>
              <w:t>T61</w:t>
            </w:r>
          </w:p>
        </w:tc>
        <w:tc>
          <w:tcPr>
            <w:tcW w:type="dxa" w:w="2616"/>
            <w:vAlign w:val="center"/>
            <w:tcMar>
              <w:top w:w="80" w:type="dxa"/>
              <w:start w:w="80" w:type="dxa"/>
              <w:bottom w:w="80" w:type="dxa"/>
              <w:end w:w="80" w:type="dxa"/>
            </w:tcMar>
          </w:tcPr>
          <w:p>
            <w:pPr>
              <w:jc w:val="center"/>
            </w:pPr>
            <w:r>
              <w:rPr>
                <w:rFonts w:ascii="Palatino Linotype" w:hAnsi="Palatino Linotype"/>
                <w:sz w:val="18"/>
              </w:rPr>
              <w:t>12</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T64</w:t>
            </w:r>
          </w:p>
        </w:tc>
        <w:tc>
          <w:tcPr>
            <w:tcW w:type="dxa" w:w="2616"/>
            <w:vAlign w:val="center"/>
            <w:tcMar>
              <w:top w:w="80" w:type="dxa"/>
              <w:start w:w="80" w:type="dxa"/>
              <w:bottom w:w="80" w:type="dxa"/>
              <w:end w:w="80" w:type="dxa"/>
            </w:tcMar>
          </w:tcPr>
          <w:p>
            <w:pPr>
              <w:jc w:val="center"/>
            </w:pPr>
            <w:r>
              <w:rPr>
                <w:rFonts w:ascii="Palatino Linotype" w:hAnsi="Palatino Linotype"/>
                <w:sz w:val="18"/>
              </w:rPr>
              <w:t>106</w:t>
            </w:r>
          </w:p>
        </w:tc>
        <w:tc>
          <w:tcPr>
            <w:tcW w:type="dxa" w:w="2616"/>
            <w:vAlign w:val="center"/>
            <w:tcMar>
              <w:top w:w="80" w:type="dxa"/>
              <w:start w:w="80" w:type="dxa"/>
              <w:bottom w:w="80" w:type="dxa"/>
              <w:end w:w="80" w:type="dxa"/>
            </w:tcMar>
          </w:tcPr>
          <w:p>
            <w:pPr>
              <w:jc w:val="center"/>
            </w:pPr>
            <w:r>
              <w:rPr>
                <w:rFonts w:ascii="Palatino Linotype" w:hAnsi="Palatino Linotype"/>
                <w:sz w:val="18"/>
              </w:rPr>
              <w:t>3</w:t>
            </w:r>
          </w:p>
        </w:tc>
        <w:tc>
          <w:tcPr>
            <w:tcW w:type="dxa" w:w="2616"/>
            <w:vAlign w:val="center"/>
            <w:tcMar>
              <w:top w:w="80" w:type="dxa"/>
              <w:start w:w="80" w:type="dxa"/>
              <w:bottom w:w="80" w:type="dxa"/>
              <w:end w:w="80" w:type="dxa"/>
            </w:tcMar>
          </w:tcPr>
          <w:p>
            <w:pPr>
              <w:jc w:val="center"/>
            </w:pPr>
            <w:r>
              <w:rPr>
                <w:rFonts w:ascii="Palatino Linotype" w:hAnsi="Palatino Linotype"/>
                <w:sz w:val="18"/>
              </w:rPr>
              <w:t>0.028</w:t>
            </w:r>
          </w:p>
        </w:tc>
      </w:tr>
      <w:tr>
        <w:tc>
          <w:tcPr>
            <w:tcW w:type="dxa" w:w="2616"/>
            <w:vAlign w:val="center"/>
            <w:tcMar>
              <w:top w:w="80" w:type="dxa"/>
              <w:start w:w="80" w:type="dxa"/>
              <w:bottom w:w="80" w:type="dxa"/>
              <w:end w:w="80" w:type="dxa"/>
            </w:tcMar>
          </w:tcPr>
          <w:p>
            <w:r>
              <w:rPr>
                <w:rFonts w:ascii="Palatino Linotype" w:hAnsi="Palatino Linotype"/>
                <w:sz w:val="18"/>
              </w:rPr>
              <w:t>T65</w:t>
            </w:r>
          </w:p>
        </w:tc>
        <w:tc>
          <w:tcPr>
            <w:tcW w:type="dxa" w:w="2616"/>
            <w:vAlign w:val="center"/>
            <w:tcMar>
              <w:top w:w="80" w:type="dxa"/>
              <w:start w:w="80" w:type="dxa"/>
              <w:bottom w:w="80" w:type="dxa"/>
              <w:end w:w="80" w:type="dxa"/>
            </w:tcMar>
          </w:tcPr>
          <w:p>
            <w:pPr>
              <w:jc w:val="center"/>
            </w:pPr>
            <w:r>
              <w:rPr>
                <w:rFonts w:ascii="Palatino Linotype" w:hAnsi="Palatino Linotype"/>
                <w:sz w:val="18"/>
              </w:rPr>
              <w:t>119</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0.126</w:t>
            </w:r>
          </w:p>
        </w:tc>
      </w:tr>
      <w:tr>
        <w:tc>
          <w:tcPr>
            <w:tcW w:type="dxa" w:w="2616"/>
            <w:vAlign w:val="center"/>
            <w:tcMar>
              <w:top w:w="80" w:type="dxa"/>
              <w:start w:w="80" w:type="dxa"/>
              <w:bottom w:w="80" w:type="dxa"/>
              <w:end w:w="80" w:type="dxa"/>
            </w:tcMar>
          </w:tcPr>
          <w:p>
            <w:r>
              <w:rPr>
                <w:rFonts w:ascii="Palatino Linotype" w:hAnsi="Palatino Linotype"/>
                <w:sz w:val="18"/>
              </w:rPr>
              <w:t>T71</w:t>
            </w:r>
          </w:p>
        </w:tc>
        <w:tc>
          <w:tcPr>
            <w:tcW w:type="dxa" w:w="2616"/>
            <w:vAlign w:val="center"/>
            <w:tcMar>
              <w:top w:w="80" w:type="dxa"/>
              <w:start w:w="80" w:type="dxa"/>
              <w:bottom w:w="80" w:type="dxa"/>
              <w:end w:w="80" w:type="dxa"/>
            </w:tcMar>
          </w:tcPr>
          <w:p>
            <w:pPr>
              <w:jc w:val="center"/>
            </w:pPr>
            <w:r>
              <w:rPr>
                <w:rFonts w:ascii="Palatino Linotype" w:hAnsi="Palatino Linotype"/>
                <w:sz w:val="18"/>
              </w:rPr>
              <w:t>14</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T74</w:t>
            </w:r>
          </w:p>
        </w:tc>
        <w:tc>
          <w:tcPr>
            <w:tcW w:type="dxa" w:w="2616"/>
            <w:vAlign w:val="center"/>
            <w:tcMar>
              <w:top w:w="80" w:type="dxa"/>
              <w:start w:w="80" w:type="dxa"/>
              <w:bottom w:w="80" w:type="dxa"/>
              <w:end w:w="80" w:type="dxa"/>
            </w:tcMar>
          </w:tcPr>
          <w:p>
            <w:pPr>
              <w:jc w:val="center"/>
            </w:pPr>
            <w:r>
              <w:rPr>
                <w:rFonts w:ascii="Palatino Linotype" w:hAnsi="Palatino Linotype"/>
                <w:sz w:val="18"/>
              </w:rPr>
              <w:t>94</w:t>
            </w:r>
          </w:p>
        </w:tc>
        <w:tc>
          <w:tcPr>
            <w:tcW w:type="dxa" w:w="2616"/>
            <w:vAlign w:val="center"/>
            <w:tcMar>
              <w:top w:w="80" w:type="dxa"/>
              <w:start w:w="80" w:type="dxa"/>
              <w:bottom w:w="80" w:type="dxa"/>
              <w:end w:w="80" w:type="dxa"/>
            </w:tcMar>
          </w:tcPr>
          <w:p>
            <w:pPr>
              <w:jc w:val="center"/>
            </w:pPr>
            <w:r>
              <w:rPr>
                <w:rFonts w:ascii="Palatino Linotype" w:hAnsi="Palatino Linotype"/>
                <w:sz w:val="18"/>
              </w:rPr>
              <w:t>10</w:t>
            </w:r>
          </w:p>
        </w:tc>
        <w:tc>
          <w:tcPr>
            <w:tcW w:type="dxa" w:w="2616"/>
            <w:vAlign w:val="center"/>
            <w:tcMar>
              <w:top w:w="80" w:type="dxa"/>
              <w:start w:w="80" w:type="dxa"/>
              <w:bottom w:w="80" w:type="dxa"/>
              <w:end w:w="80" w:type="dxa"/>
            </w:tcMar>
          </w:tcPr>
          <w:p>
            <w:pPr>
              <w:jc w:val="center"/>
            </w:pPr>
            <w:r>
              <w:rPr>
                <w:rFonts w:ascii="Palatino Linotype" w:hAnsi="Palatino Linotype"/>
                <w:sz w:val="18"/>
              </w:rPr>
              <w:t>0.106</w:t>
            </w:r>
          </w:p>
        </w:tc>
      </w:tr>
      <w:tr>
        <w:tc>
          <w:tcPr>
            <w:tcW w:type="dxa" w:w="2616"/>
            <w:vAlign w:val="center"/>
            <w:tcMar>
              <w:top w:w="80" w:type="dxa"/>
              <w:start w:w="80" w:type="dxa"/>
              <w:bottom w:w="80" w:type="dxa"/>
              <w:end w:w="80" w:type="dxa"/>
            </w:tcMar>
          </w:tcPr>
          <w:p>
            <w:r>
              <w:rPr>
                <w:rFonts w:ascii="Palatino Linotype" w:hAnsi="Palatino Linotype"/>
                <w:sz w:val="18"/>
              </w:rPr>
              <w:t>T75</w:t>
            </w:r>
          </w:p>
        </w:tc>
        <w:tc>
          <w:tcPr>
            <w:tcW w:type="dxa" w:w="2616"/>
            <w:vAlign w:val="center"/>
            <w:tcMar>
              <w:top w:w="80" w:type="dxa"/>
              <w:start w:w="80" w:type="dxa"/>
              <w:bottom w:w="80" w:type="dxa"/>
              <w:end w:w="80" w:type="dxa"/>
            </w:tcMar>
          </w:tcPr>
          <w:p>
            <w:pPr>
              <w:jc w:val="center"/>
            </w:pPr>
            <w:r>
              <w:rPr>
                <w:rFonts w:ascii="Palatino Linotype" w:hAnsi="Palatino Linotype"/>
                <w:sz w:val="18"/>
              </w:rPr>
              <w:t>91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0.165</w:t>
            </w:r>
          </w:p>
        </w:tc>
      </w:tr>
      <w:tr>
        <w:tc>
          <w:tcPr>
            <w:tcW w:type="dxa" w:w="2616"/>
            <w:vAlign w:val="center"/>
            <w:tcMar>
              <w:top w:w="80" w:type="dxa"/>
              <w:start w:w="80" w:type="dxa"/>
              <w:bottom w:w="80" w:type="dxa"/>
              <w:end w:w="80" w:type="dxa"/>
            </w:tcMar>
          </w:tcPr>
          <w:p>
            <w:r>
              <w:rPr>
                <w:rFonts w:ascii="Palatino Linotype" w:hAnsi="Palatino Linotype"/>
                <w:sz w:val="18"/>
              </w:rPr>
              <w:t>T81</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T82</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T83</w:t>
            </w:r>
          </w:p>
        </w:tc>
        <w:tc>
          <w:tcPr>
            <w:tcW w:type="dxa" w:w="2616"/>
            <w:vAlign w:val="center"/>
            <w:tcMar>
              <w:top w:w="80" w:type="dxa"/>
              <w:start w:w="80" w:type="dxa"/>
              <w:bottom w:w="80" w:type="dxa"/>
              <w:end w:w="80" w:type="dxa"/>
            </w:tcMar>
          </w:tcPr>
          <w:p>
            <w:pPr>
              <w:jc w:val="center"/>
            </w:pPr>
            <w:r>
              <w:rPr>
                <w:rFonts w:ascii="Palatino Linotype" w:hAnsi="Palatino Linotype"/>
                <w:sz w:val="18"/>
              </w:rPr>
              <w:t>16</w:t>
            </w:r>
          </w:p>
        </w:tc>
        <w:tc>
          <w:tcPr>
            <w:tcW w:type="dxa" w:w="2616"/>
            <w:vAlign w:val="center"/>
            <w:tcMar>
              <w:top w:w="80" w:type="dxa"/>
              <w:start w:w="80" w:type="dxa"/>
              <w:bottom w:w="80" w:type="dxa"/>
              <w:end w:w="80" w:type="dxa"/>
            </w:tcMar>
          </w:tcPr>
          <w:p>
            <w:pPr>
              <w:jc w:val="center"/>
            </w:pPr>
            <w:r>
              <w:rPr>
                <w:rFonts w:ascii="Palatino Linotype" w:hAnsi="Palatino Linotype"/>
                <w:sz w:val="18"/>
              </w:rPr>
              <w:t>0</w:t>
            </w:r>
          </w:p>
        </w:tc>
        <w:tc>
          <w:tcPr>
            <w:tcW w:type="dxa" w:w="2616"/>
            <w:vAlign w:val="center"/>
            <w:tcMar>
              <w:top w:w="80" w:type="dxa"/>
              <w:start w:w="80" w:type="dxa"/>
              <w:bottom w:w="80" w:type="dxa"/>
              <w:end w:w="80" w:type="dxa"/>
            </w:tcMar>
          </w:tcPr>
          <w:p>
            <w:pPr>
              <w:jc w:val="center"/>
            </w:pPr>
            <w:r>
              <w:rPr>
                <w:rFonts w:ascii="Palatino Linotype" w:hAnsi="Palatino Linotype"/>
                <w:sz w:val="18"/>
              </w:rPr>
              <w:t>0.000</w:t>
            </w:r>
          </w:p>
        </w:tc>
      </w:tr>
      <w:tr>
        <w:tc>
          <w:tcPr>
            <w:tcW w:type="dxa" w:w="2616"/>
            <w:vAlign w:val="center"/>
            <w:tcMar>
              <w:top w:w="80" w:type="dxa"/>
              <w:start w:w="80" w:type="dxa"/>
              <w:bottom w:w="80" w:type="dxa"/>
              <w:end w:w="80" w:type="dxa"/>
            </w:tcMar>
          </w:tcPr>
          <w:p>
            <w:r>
              <w:rPr>
                <w:rFonts w:ascii="Palatino Linotype" w:hAnsi="Palatino Linotype"/>
                <w:sz w:val="18"/>
              </w:rPr>
              <w:t>T84</w:t>
            </w:r>
          </w:p>
        </w:tc>
        <w:tc>
          <w:tcPr>
            <w:tcW w:type="dxa" w:w="2616"/>
            <w:vAlign w:val="center"/>
            <w:tcMar>
              <w:top w:w="80" w:type="dxa"/>
              <w:start w:w="80" w:type="dxa"/>
              <w:bottom w:w="80" w:type="dxa"/>
              <w:end w:w="80" w:type="dxa"/>
            </w:tcMar>
          </w:tcPr>
          <w:p>
            <w:pPr>
              <w:jc w:val="center"/>
            </w:pPr>
            <w:r>
              <w:rPr>
                <w:rFonts w:ascii="Palatino Linotype" w:hAnsi="Palatino Linotype"/>
                <w:sz w:val="18"/>
              </w:rPr>
              <w:t>88</w:t>
            </w:r>
          </w:p>
        </w:tc>
        <w:tc>
          <w:tcPr>
            <w:tcW w:type="dxa" w:w="2616"/>
            <w:vAlign w:val="center"/>
            <w:tcMar>
              <w:top w:w="80" w:type="dxa"/>
              <w:start w:w="80" w:type="dxa"/>
              <w:bottom w:w="80" w:type="dxa"/>
              <w:end w:w="80" w:type="dxa"/>
            </w:tcMar>
          </w:tcPr>
          <w:p>
            <w:pPr>
              <w:jc w:val="center"/>
            </w:pPr>
            <w:r>
              <w:rPr>
                <w:rFonts w:ascii="Palatino Linotype" w:hAnsi="Palatino Linotype"/>
                <w:sz w:val="18"/>
              </w:rPr>
              <w:t>8</w:t>
            </w:r>
          </w:p>
        </w:tc>
        <w:tc>
          <w:tcPr>
            <w:tcW w:type="dxa" w:w="2616"/>
            <w:vAlign w:val="center"/>
            <w:tcMar>
              <w:top w:w="80" w:type="dxa"/>
              <w:start w:w="80" w:type="dxa"/>
              <w:bottom w:w="80" w:type="dxa"/>
              <w:end w:w="80" w:type="dxa"/>
            </w:tcMar>
          </w:tcPr>
          <w:p>
            <w:pPr>
              <w:jc w:val="center"/>
            </w:pPr>
            <w:r>
              <w:rPr>
                <w:rFonts w:ascii="Palatino Linotype" w:hAnsi="Palatino Linotype"/>
                <w:sz w:val="18"/>
              </w:rPr>
              <w:t>0.091</w:t>
            </w:r>
          </w:p>
        </w:tc>
      </w:tr>
      <w:tr>
        <w:tc>
          <w:tcPr>
            <w:tcW w:type="dxa" w:w="2616"/>
            <w:vAlign w:val="center"/>
            <w:tcMar>
              <w:top w:w="80" w:type="dxa"/>
              <w:start w:w="80" w:type="dxa"/>
              <w:bottom w:w="80" w:type="dxa"/>
              <w:end w:w="80" w:type="dxa"/>
            </w:tcMar>
          </w:tcPr>
          <w:p>
            <w:r>
              <w:rPr>
                <w:rFonts w:ascii="Palatino Linotype" w:hAnsi="Palatino Linotype"/>
                <w:sz w:val="18"/>
              </w:rPr>
              <w:t>T85</w:t>
            </w:r>
          </w:p>
        </w:tc>
        <w:tc>
          <w:tcPr>
            <w:tcW w:type="dxa" w:w="2616"/>
            <w:vAlign w:val="center"/>
            <w:tcMar>
              <w:top w:w="80" w:type="dxa"/>
              <w:start w:w="80" w:type="dxa"/>
              <w:bottom w:w="80" w:type="dxa"/>
              <w:end w:w="80" w:type="dxa"/>
            </w:tcMar>
          </w:tcPr>
          <w:p>
            <w:pPr>
              <w:jc w:val="center"/>
            </w:pPr>
            <w:r>
              <w:rPr>
                <w:rFonts w:ascii="Palatino Linotype" w:hAnsi="Palatino Linotype"/>
                <w:sz w:val="18"/>
              </w:rPr>
              <w:t>97</w:t>
            </w:r>
          </w:p>
        </w:tc>
        <w:tc>
          <w:tcPr>
            <w:tcW w:type="dxa" w:w="2616"/>
            <w:vAlign w:val="center"/>
            <w:tcMar>
              <w:top w:w="80" w:type="dxa"/>
              <w:start w:w="80" w:type="dxa"/>
              <w:bottom w:w="80" w:type="dxa"/>
              <w:end w:w="80" w:type="dxa"/>
            </w:tcMar>
          </w:tcPr>
          <w:p>
            <w:pPr>
              <w:jc w:val="center"/>
            </w:pPr>
            <w:r>
              <w:rPr>
                <w:rFonts w:ascii="Palatino Linotype" w:hAnsi="Palatino Linotype"/>
                <w:sz w:val="18"/>
              </w:rPr>
              <w:t>15</w:t>
            </w:r>
          </w:p>
        </w:tc>
        <w:tc>
          <w:tcPr>
            <w:tcW w:type="dxa" w:w="2616"/>
            <w:vAlign w:val="center"/>
            <w:tcMar>
              <w:top w:w="80" w:type="dxa"/>
              <w:start w:w="80" w:type="dxa"/>
              <w:bottom w:w="80" w:type="dxa"/>
              <w:end w:w="80" w:type="dxa"/>
            </w:tcMar>
          </w:tcPr>
          <w:p>
            <w:pPr>
              <w:jc w:val="center"/>
            </w:pPr>
            <w:r>
              <w:rPr>
                <w:rFonts w:ascii="Palatino Linotype" w:hAnsi="Palatino Linotype"/>
                <w:sz w:val="18"/>
              </w:rPr>
              <w:t>0.155</w:t>
            </w:r>
          </w:p>
        </w:tc>
      </w:tr>
    </w:tbl>
    <w:p>
      <w:pPr>
        <w:pStyle w:val="MDPI43tablefooter"/>
      </w:pPr>
      <w:r>
        <w:rPr>
          <w:lang w:val="en-GB"/>
        </w:rPr>
        <w:t>All 83 events occurred in the eight primary molar positions. Event fractions are descriptive cohort frequencies, not model-estimated risks.</w:t>
      </w:r>
    </w:p>
    <w:p>
      <w:pPr>
        <w:pStyle w:val="MDPI22heading2"/>
        <w:keepNext/>
      </w:pPr>
      <w:r>
        <w:rPr>
          <w:lang w:val="en-GB"/>
        </w:rPr>
        <w:t>3.5. Status of Non-Clinical OdontoCA Branches</w:t>
      </w:r>
    </w:p>
    <w:p>
      <w:pPr>
        <w:pStyle w:val="MDPI31text"/>
      </w:pPr>
      <w:r>
        <w:rPr>
          <w:lang w:val="en-GB"/>
        </w:rPr>
        <w:t>No real microbiome model, image model, patient-linked multimodal fusion, or external clinical validation was executed for this manuscript. Two earlier internal runs of the synthetic branch and an earlier non-public exploratory run on the real cohort returned different estimates under different group-split policies despite identical cohort counts. These discrepancies, the software versions under which each result was produced, and the resulting limits on cross-run comparability are documented in Supplementary File S2. They are reported because they bound what can be claimed, not because they bear on the clinical estimates in Tables 2 and 3, which were produced under a single locked policy with a fixed seed.</w:t>
      </w:r>
    </w:p>
    <w:p>
      <w:pPr>
        <w:pStyle w:val="MDPI21heading1"/>
        <w:keepNext/>
      </w:pPr>
      <w:r>
        <w:rPr>
          <w:lang w:val="en-GB"/>
        </w:rPr>
        <w:t>4. Discussion</w:t>
      </w:r>
    </w:p>
    <w:p>
      <w:pPr>
        <w:pStyle w:val="MDPI22heading2"/>
        <w:keepNext/>
      </w:pPr>
      <w:r>
        <w:rPr>
          <w:lang w:val="en-GB"/>
        </w:rPr>
        <w:t>4.1. Principal Findings</w:t>
      </w:r>
    </w:p>
    <w:p>
      <w:pPr>
        <w:pStyle w:val="MDPI31text"/>
      </w:pPr>
      <w:r>
        <w:rPr>
          <w:lang w:val="en-GB"/>
        </w:rPr>
        <w:t>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p>
      <w:pPr>
        <w:pStyle w:val="MDPI22heading2"/>
        <w:keepNext/>
      </w:pPr>
      <w:r>
        <w:rPr>
          <w:lang w:val="en-GB"/>
        </w:rPr>
        <w:t>4.2. Interpretation of Discrimination and Calibration</w:t>
      </w:r>
    </w:p>
    <w:p>
      <w:pPr>
        <w:pStyle w:val="MDPI31text"/>
      </w:pPr>
      <w:r>
        <w:rPr>
          <w:lang w:val="en-GB"/>
        </w:rPr>
        <w:t>The event fraction was 8.33%, making the prevalence reference for average precision low and emphasizing the need to interpret AUPRC alongside AUROC.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[25]. Decision-curve analysis can quantify net benefit when clinically justified thresholds are available [26], but thresholds should not be presented as treatment recommendations without a defined decision context.</w:t>
      </w:r>
    </w:p>
    <w:p>
      <w:pPr>
        <w:pStyle w:val="MDPI31text"/>
      </w:pPr>
      <w:r>
        <w:rPr>
          <w:lang w:val="en-GB"/>
        </w:rPr>
        <w:t>A further concern is the descriptive calibration graphic. Contemporary validation guidance favors calibration assessment across the full prediction range with a smoothed calibration curve rather than grouped points alone. The eight-bin display in Figure 4 is therefore retained only as a compact internal description; the planned independent validation should include a smoothed curve with confidence intervals and the distribution of predicted risks.</w:t>
      </w:r>
    </w:p>
    <w:p>
      <w:pPr>
        <w:pStyle w:val="MDPI22heading2"/>
        <w:keepNext/>
      </w:pPr>
      <w:r>
        <w:rPr>
          <w:lang w:val="en-GB"/>
        </w:rPr>
        <w:t>4.3. Relation to Spatial and Microbiome Literature</w:t>
      </w:r>
    </w:p>
    <w:p>
      <w:pPr>
        <w:pStyle w:val="MDPI31text"/>
      </w:pPr>
      <w:r>
        <w:rPr>
          <w:lang w:val="en-GB"/>
        </w:rPr>
        <w:t>The clinical-only design avoids attributing another group’s microbiome results to OdontoCA. Recent microbiome risk modelling in a small nested case-control study [27] adds context, not a direct comparator, because case mix, follow-up, and validation differ. The source paper’s tooth-resolved microbiome findings [1] and the observed structure of oral plaque communities [28]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p>
      <w:pPr>
        <w:pStyle w:val="MDPI22heading2"/>
        <w:keepNext/>
      </w:pPr>
      <w:r>
        <w:rPr>
          <w:lang w:val="en-GB"/>
        </w:rPr>
        <w:t>4.4. Reporting and the Next Validation Phase</w:t>
      </w:r>
    </w:p>
    <w:p>
      <w:pPr>
        <w:pStyle w:val="MDPI31text"/>
      </w:pPr>
      <w:r>
        <w:rPr>
          <w:lang w:val="en-GB"/>
        </w:rPr>
        <w:t>The original TRIPOD statement [29], the updated TRIPOD+AI guidance [10], and practical model-development guidance [30]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p>
      <w:pPr>
        <w:pStyle w:val="MDPI31text"/>
      </w:pPr>
      <w:r>
        <w:rPr>
          <w:lang w:val="en-GB"/>
        </w:rPr>
        <w:t>For the next phase, the strongest design would be a prospectively registered, independent cohort with predictor measurements available at the intended prediction time, a fixed and clinically meaningful prediction horizon, blinded or otherwise independent outcome assessment where feasible, and sufficient sample size for precise calibration and discrimination estimates. The locked artifact should be applied unchanged first; any recalibration or model updating should be reported as a separate post-validation analysis.</w:t>
      </w:r>
    </w:p>
    <w:p>
      <w:pPr>
        <w:pStyle w:val="MDPI22heading2"/>
        <w:keepNext/>
      </w:pPr>
      <w:r>
        <w:rPr>
          <w:lang w:val="en-GB"/>
        </w:rPr>
        <w:t>4.5. Limitations</w:t>
      </w:r>
    </w:p>
    <w:p>
      <w:pPr>
        <w:pStyle w:val="MDPI31text"/>
      </w:pPr>
      <w:r>
        <w:rPr>
          <w:lang w:val="en-GB"/>
        </w:rPr>
        <w:t>The analysis uses one public cohort and a modest number of children and events, with multiple teeth per child. The model was developed from only 83 outcome events for 24 effective degrees of freedom (3.46 events per parameter), indicating substantial sample-size constraint and potential overfitting; this ratio is descriptive rather than a formal sample-size criterion.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Locking the final model regularisation value once on the full cohort, as required for a deployable artifact, makes the artifact’s own cross-fitted metrics optimistic relative to the fold-wise estimates in Section 3.2; performance reporting must cite the fold-wise values. The saved synthetic notebook and its current-code rerun yielded different metrics, and the legacy and corrected split policies gave different internal estimates; executable outputs and software versions therefore must be pinned. The original work’s reported diagnostic or predictive accuracy [1] is not an OdontoCA result.</w:t>
      </w:r>
    </w:p>
    <w:p>
      <w:pPr>
        <w:pStyle w:val="MDPI31text"/>
      </w:pPr>
      <w:r>
        <w:rPr>
          <w:lang w:val="en-GB"/>
        </w:rPr>
        <w:t>Additional limitations relevant to peer review include variable follow-up (2–5 months), absence of a fixed prediction horizon, lack of an independent external cohort, reliance on source-derived spatial fields whose prospective availability is unverified, and the fact that the fitted logistic model does not explicitly model within-child correlation even though validation and bootstrap uncertainty were grouped by child. Item-level missingness mechanisms and predictor acquisition procedures should be documented in the supplement to the extent recoverable from the source data.</w:t>
      </w:r>
    </w:p>
    <w:p>
      <w:pPr>
        <w:pStyle w:val="MDPI21heading1"/>
        <w:keepNext/>
      </w:pPr>
      <w:r>
        <w:rPr>
          <w:lang w:val="en-GB"/>
        </w:rPr>
        <w:t>5. Conclusions</w:t>
      </w:r>
    </w:p>
    <w:p>
      <w:pPr>
        <w:pStyle w:val="MDPI31text"/>
      </w:pPr>
      <w:r>
        <w:rPr>
          <w:lang w:val="en-GB"/>
        </w:rPr>
        <w:t>This secondary analysis reproduced the public tooth-level cohort and identified modest exploratory predictive signal under child-grouped internal validation. The clinical-spatial model had an AUROC of 0.737 and average precision of 0.178, but its advantage over the minimal clinical model was uncertain. Training-only intercept-and-slope recalibration improved the minimal model Brier score within this cohort, while calibration remained imperfect. A version-locked primary model and a prespecified external-validation framework now support a falsifiable next step; they do not establish transportability or clinical utility. Given the limited number of children and events, variable follow-up, unverified source-derived spatial predictors, and absence of external validation, the artifact should be treated strictly as a research model. Independent validation with a prospectively justified, precision-based sample size is required before any patient-level decision support is considered.</w:t>
      </w:r>
    </w:p>
    <w:p>
      <w:pPr>
        <w:pStyle w:val="MDPI31text"/>
      </w:pPr>
      <w:r>
        <w:rPr>
          <w:b/>
          <w:lang w:val="en-GB"/>
        </w:rPr>
        <w:t xml:space="preserve">Supplementary Materials: </w:t>
      </w:r>
      <w:r>
        <w:rPr>
          <w:lang w:val="en-GB"/>
        </w:rPr>
        <w:t>Supplementary File S1 contains the detailed evidence-aware architecture; Supplementary File S2 documents the synthetic-notebook audit, rerun discrepancy, and validation limits; Supplementary File S3 maps reporting to TRIPOD+AI; Supplementary File S4 provides the internal PROBAST+AI appraisal. Reproducibility materials should include the verified analysis script, split assignments, aggregate outputs, source-file digest, and version-locked inference artifact.</w:t>
      </w:r>
    </w:p>
    <w:p>
      <w:pPr>
        <w:pStyle w:val="MDPI62backmatter"/>
      </w:pPr>
      <w:r>
        <w:rPr>
          <w:b/>
          <w:lang w:val="en-GB"/>
        </w:rPr>
        <w:t xml:space="preserve">Author Contributions: </w:t>
      </w:r>
      <w:r>
        <w:rPr>
          <w:highlight w:val="yellow"/>
          <w:lang w:val="en-GB"/>
        </w:rPr>
        <w:t>[REQUIRED: insert CRediT roles for the confirmed authors. Authorship and contributions must reflect actual work performed.]</w:t>
      </w:r>
    </w:p>
    <w:p>
      <w:pPr>
        <w:pStyle w:val="MDPI62backmatter"/>
      </w:pPr>
      <w:r>
        <w:rPr>
          <w:b/>
          <w:lang w:val="en-GB"/>
        </w:rPr>
        <w:t xml:space="preserve">Funding: </w:t>
      </w:r>
      <w:r>
        <w:rPr>
          <w:highlight w:val="yellow"/>
          <w:lang w:val="en-GB"/>
        </w:rPr>
        <w:t>[REQUIRED: state “This research received no external funding” or provide the verified funder, grant number, and APC funding statement.]</w:t>
      </w:r>
    </w:p>
    <w:p>
      <w:pPr>
        <w:pStyle w:val="MDPI62backmatter"/>
      </w:pPr>
      <w:r>
        <w:rPr>
          <w:b/>
          <w:lang w:val="en-GB"/>
        </w:rPr>
        <w:t xml:space="preserve">Institutional Review Board Statement: </w:t>
      </w:r>
      <w:r>
        <w:rPr>
          <w:highlight w:val="yellow"/>
          <w:lang w:val="en-GB"/>
        </w:rPr>
        <w:t>[REQUIRED BEFORE SUBMISSION: this secondary analysis used de-identified records released publicly by the source investigators and recruited no new participants. Confirm with the authors’ institution whether ethical review was not required, exempted, or waived for this secondary analysis, and insert the formal determination/protocol number if applicable. Do not submit with this placeholder.]</w:t>
      </w:r>
    </w:p>
    <w:p>
      <w:pPr>
        <w:pStyle w:val="MDPI62backmatter"/>
      </w:pPr>
      <w:r>
        <w:rPr>
          <w:b/>
          <w:lang w:val="en-GB"/>
        </w:rPr>
        <w:t xml:space="preserve">Informed Consent Statement: </w:t>
      </w:r>
      <w:r>
        <w:rPr>
          <w:highlight w:val="yellow"/>
          <w:lang w:val="en-GB"/>
        </w:rPr>
        <w:t>[REQUIRED BEFORE SUBMISSION: confirm the appropriate statement for secondary analysis of the public source data, and, if relevant, cite the consent procedures of the original study. Do not infer consent status from public availability alone.]</w:t>
      </w:r>
    </w:p>
    <w:p>
      <w:pPr>
        <w:pStyle w:val="MDPI31text"/>
      </w:pPr>
      <w:r>
        <w:rPr>
          <w:b/>
          <w:lang w:val="en-GB"/>
        </w:rPr>
        <w:t xml:space="preserve">Data Availability Statement: </w:t>
      </w:r>
      <w:r>
        <w:rPr>
          <w:lang w:val="en-GB"/>
        </w:rPr>
        <w:t>The analysis used the public all_metadata worksheet released with Yang et al. [1]. The exact source file analysed was pinned by commit identifier e5868fe5 and SHA-256 b7819fee81efbe2e227b7700c3cd86ce8bc6f7fe6f49da6214f4107d099184fa. The clinical reconstruction and analysis code, aggregate outputs, figure scripts, and version-locked inference artifact should be deposited in a permanent public repository before publication. Third-party source records should be redistributed only if their original reuse terms permit it.</w:t>
      </w:r>
    </w:p>
    <w:p>
      <w:pPr>
        <w:pStyle w:val="MDPI31text"/>
      </w:pPr>
      <w:r>
        <w:rPr>
          <w:b/>
          <w:lang w:val="en-GB"/>
        </w:rPr>
        <w:t xml:space="preserve">Acknowledgments: </w:t>
      </w:r>
      <w:r>
        <w:rPr>
          <w:lang w:val="en-GB"/>
        </w:rPr>
        <w:t>During preparation of this manuscript, the authors used OpenAI Codex for code-review assistance, execution support, editorial revision, reference checking, and deterministic diagram/figure scripting. The authors reviewed and edited all outputs and retain full responsibility for the accuracy and integrity of the publication. Exact tool/version information should be confirmed before submission.</w:t>
      </w:r>
    </w:p>
    <w:p>
      <w:pPr>
        <w:pStyle w:val="MDPI62backmatter"/>
      </w:pPr>
      <w:r>
        <w:rPr>
          <w:b/>
          <w:lang w:val="en-GB"/>
        </w:rPr>
        <w:t xml:space="preserve">Conflicts of Interest: </w:t>
      </w:r>
      <w:r>
        <w:rPr>
          <w:highlight w:val="yellow"/>
          <w:lang w:val="en-GB"/>
        </w:rPr>
        <w:t>[REQUIRED: each author must complete and verify the MDPI conflict-of-interest disclosure. If none exist, replace this text with “The authors declare no conflicts of interest.”]</w:t>
      </w:r>
    </w:p>
    <w:p>
      <w:pPr>
        <w:pStyle w:val="MDPI21heading1"/>
        <w:keepNext/>
      </w:pPr>
      <w:r>
        <w:rPr>
          <w:lang w:val="en-GB"/>
        </w:rPr>
        <w:t>Abbreviations</w:t>
      </w:r>
    </w:p>
    <w:p>
      <w:pPr>
        <w:pStyle w:val="MDPI32textnoindent"/>
      </w:pPr>
      <w:r>
        <w:rPr>
          <w:lang w:val="en-GB"/>
        </w:rPr>
        <w:t>The following abbreviations are used in this manuscript:</w:t>
      </w:r>
    </w:p>
    <w:p>
      <w:pPr>
        <w:pStyle w:val="MDPI41tablecaption"/>
        <w:keepNext/>
      </w:pPr>
      <w:r>
        <w:rPr>
          <w:lang w:val="en-GB"/>
        </w:rPr>
        <w:t>Table 5. Abbreviations used in the manuscript.</w:t>
      </w:r>
    </w:p>
    <w:tbl>
      <w:tblPr>
        <w:tblStyle w:val="TableGrid"/>
        <w:tblW w:type="auto" w:w="0"/>
        <w:jc w:val="center"/>
        <w:tblLayout w:type="autofit"/>
        <w:tblLook w:firstColumn="1" w:firstRow="1" w:lastColumn="0" w:lastRow="0" w:noHBand="0" w:noVBand="1" w:val="04A0"/>
      </w:tblPr>
      <w:tblGrid>
        <w:gridCol w:w="5233"/>
        <w:gridCol w:w="5233"/>
      </w:tblGrid>
      <w:tr>
        <w:trPr>
          <w:tblHeader w:val="true"/>
        </w:trPr>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Abbreviation</w:t>
            </w:r>
          </w:p>
        </w:tc>
        <w:tc>
          <w:tcPr>
            <w:tcW w:type="dxa" w:w="5233"/>
            <w:vAlign w:val="center"/>
            <w:shd w:fill="E7EDF4"/>
            <w:tcMar>
              <w:top w:w="80" w:type="dxa"/>
              <w:start w:w="80" w:type="dxa"/>
              <w:bottom w:w="80" w:type="dxa"/>
              <w:end w:w="80" w:type="dxa"/>
            </w:tcMar>
          </w:tcPr>
          <w:p>
            <w:pPr>
              <w:jc w:val="center"/>
            </w:pPr>
            <w:r>
              <w:rPr>
                <w:rFonts w:ascii="Palatino Linotype" w:hAnsi="Palatino Linotype"/>
                <w:b/>
                <w:sz w:val="18"/>
              </w:rPr>
              <w:t>Definition</w:t>
            </w:r>
          </w:p>
        </w:tc>
      </w:tr>
      <w:tr>
        <w:tc>
          <w:tcPr>
            <w:tcW w:type="dxa" w:w="5233"/>
            <w:vAlign w:val="center"/>
            <w:tcMar>
              <w:top w:w="80" w:type="dxa"/>
              <w:start w:w="80" w:type="dxa"/>
              <w:bottom w:w="80" w:type="dxa"/>
              <w:end w:w="80" w:type="dxa"/>
            </w:tcMar>
          </w:tcPr>
          <w:p>
            <w:r>
              <w:rPr>
                <w:rFonts w:ascii="Palatino Linotype" w:hAnsi="Palatino Linotype"/>
                <w:sz w:val="18"/>
              </w:rPr>
              <w:t>AUPRC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precision–recall curve</w:t>
            </w:r>
          </w:p>
        </w:tc>
      </w:tr>
      <w:tr>
        <w:tc>
          <w:tcPr>
            <w:tcW w:type="dxa" w:w="5233"/>
            <w:vAlign w:val="center"/>
            <w:tcMar>
              <w:top w:w="80" w:type="dxa"/>
              <w:start w:w="80" w:type="dxa"/>
              <w:bottom w:w="80" w:type="dxa"/>
              <w:end w:w="80" w:type="dxa"/>
            </w:tcMar>
          </w:tcPr>
          <w:p>
            <w:r>
              <w:rPr>
                <w:rFonts w:ascii="Palatino Linotype" w:hAnsi="Palatino Linotype"/>
                <w:sz w:val="18"/>
              </w:rPr>
              <w:t>AUROC</w:t>
            </w:r>
          </w:p>
        </w:tc>
        <w:tc>
          <w:tcPr>
            <w:tcW w:type="dxa" w:w="5233"/>
            <w:vAlign w:val="center"/>
            <w:tcMar>
              <w:top w:w="80" w:type="dxa"/>
              <w:start w:w="80" w:type="dxa"/>
              <w:bottom w:w="80" w:type="dxa"/>
              <w:end w:w="80" w:type="dxa"/>
            </w:tcMar>
          </w:tcPr>
          <w:p>
            <w:pPr>
              <w:jc w:val="center"/>
            </w:pPr>
            <w:r>
              <w:rPr>
                <w:rFonts w:ascii="Palatino Linotype" w:hAnsi="Palatino Linotype"/>
                <w:sz w:val="18"/>
              </w:rPr>
              <w:t>Area under the receiver-operating-characteristic curve</w:t>
            </w:r>
          </w:p>
        </w:tc>
      </w:tr>
      <w:tr>
        <w:tc>
          <w:tcPr>
            <w:tcW w:type="dxa" w:w="5233"/>
            <w:vAlign w:val="center"/>
            <w:tcMar>
              <w:top w:w="80" w:type="dxa"/>
              <w:start w:w="80" w:type="dxa"/>
              <w:bottom w:w="80" w:type="dxa"/>
              <w:end w:w="80" w:type="dxa"/>
            </w:tcMar>
          </w:tcPr>
          <w:p>
            <w:r>
              <w:rPr>
                <w:rFonts w:ascii="Palatino Linotype" w:hAnsi="Palatino Linotype"/>
                <w:sz w:val="18"/>
              </w:rPr>
              <w:t>ECC</w:t>
            </w:r>
          </w:p>
        </w:tc>
        <w:tc>
          <w:tcPr>
            <w:tcW w:type="dxa" w:w="5233"/>
            <w:vAlign w:val="center"/>
            <w:tcMar>
              <w:top w:w="80" w:type="dxa"/>
              <w:start w:w="80" w:type="dxa"/>
              <w:bottom w:w="80" w:type="dxa"/>
              <w:end w:w="80" w:type="dxa"/>
            </w:tcMar>
          </w:tcPr>
          <w:p>
            <w:pPr>
              <w:jc w:val="center"/>
            </w:pPr>
            <w:r>
              <w:rPr>
                <w:rFonts w:ascii="Palatino Linotype" w:hAnsi="Palatino Linotype"/>
                <w:sz w:val="18"/>
              </w:rPr>
              <w:t>Early-childhood caries</w:t>
            </w:r>
          </w:p>
        </w:tc>
      </w:tr>
      <w:tr>
        <w:tc>
          <w:tcPr>
            <w:tcW w:type="dxa" w:w="5233"/>
            <w:vAlign w:val="center"/>
            <w:tcMar>
              <w:top w:w="80" w:type="dxa"/>
              <w:start w:w="80" w:type="dxa"/>
              <w:bottom w:w="80" w:type="dxa"/>
              <w:end w:w="80" w:type="dxa"/>
            </w:tcMar>
          </w:tcPr>
          <w:p>
            <w:r>
              <w:rPr>
                <w:rFonts w:ascii="Palatino Linotype" w:hAnsi="Palatino Linotype"/>
                <w:sz w:val="18"/>
              </w:rPr>
              <w:t>FDI</w:t>
            </w:r>
          </w:p>
        </w:tc>
        <w:tc>
          <w:tcPr>
            <w:tcW w:type="dxa" w:w="5233"/>
            <w:vAlign w:val="center"/>
            <w:tcMar>
              <w:top w:w="80" w:type="dxa"/>
              <w:start w:w="80" w:type="dxa"/>
              <w:bottom w:w="80" w:type="dxa"/>
              <w:end w:w="80" w:type="dxa"/>
            </w:tcMar>
          </w:tcPr>
          <w:p>
            <w:pPr>
              <w:jc w:val="center"/>
            </w:pPr>
            <w:r>
              <w:rPr>
                <w:rFonts w:ascii="Palatino Linotype" w:hAnsi="Palatino Linotype"/>
                <w:sz w:val="18"/>
              </w:rPr>
              <w:t>Fédération Dentaire Internationale tooth notation</w:t>
            </w:r>
          </w:p>
        </w:tc>
      </w:tr>
      <w:tr>
        <w:tc>
          <w:tcPr>
            <w:tcW w:type="dxa" w:w="5233"/>
            <w:vAlign w:val="center"/>
            <w:tcMar>
              <w:top w:w="80" w:type="dxa"/>
              <w:start w:w="80" w:type="dxa"/>
              <w:bottom w:w="80" w:type="dxa"/>
              <w:end w:w="80" w:type="dxa"/>
            </w:tcMar>
          </w:tcPr>
          <w:p>
            <w:r>
              <w:rPr>
                <w:rFonts w:ascii="Palatino Linotype" w:hAnsi="Palatino Linotype"/>
                <w:sz w:val="18"/>
              </w:rPr>
              <w:t>OOF</w:t>
            </w:r>
          </w:p>
        </w:tc>
        <w:tc>
          <w:tcPr>
            <w:tcW w:type="dxa" w:w="5233"/>
            <w:vAlign w:val="center"/>
            <w:tcMar>
              <w:top w:w="80" w:type="dxa"/>
              <w:start w:w="80" w:type="dxa"/>
              <w:bottom w:w="80" w:type="dxa"/>
              <w:end w:w="80" w:type="dxa"/>
            </w:tcMar>
          </w:tcPr>
          <w:p>
            <w:pPr>
              <w:jc w:val="center"/>
            </w:pPr>
            <w:r>
              <w:rPr>
                <w:rFonts w:ascii="Palatino Linotype" w:hAnsi="Palatino Linotype"/>
                <w:sz w:val="18"/>
              </w:rPr>
              <w:t>Out-of-fold</w:t>
            </w:r>
          </w:p>
        </w:tc>
      </w:tr>
      <w:tr>
        <w:tc>
          <w:tcPr>
            <w:tcW w:type="dxa" w:w="5233"/>
            <w:vAlign w:val="center"/>
            <w:tcMar>
              <w:top w:w="80" w:type="dxa"/>
              <w:start w:w="80" w:type="dxa"/>
              <w:bottom w:w="80" w:type="dxa"/>
              <w:end w:w="80" w:type="dxa"/>
            </w:tcMar>
          </w:tcPr>
          <w:p>
            <w:r>
              <w:rPr>
                <w:rFonts w:ascii="Palatino Linotype" w:hAnsi="Palatino Linotype"/>
                <w:sz w:val="18"/>
              </w:rPr>
              <w:t>PROBAST+AI</w:t>
            </w:r>
          </w:p>
        </w:tc>
        <w:tc>
          <w:tcPr>
            <w:tcW w:type="dxa" w:w="5233"/>
            <w:vAlign w:val="center"/>
            <w:tcMar>
              <w:top w:w="80" w:type="dxa"/>
              <w:start w:w="80" w:type="dxa"/>
              <w:bottom w:w="80" w:type="dxa"/>
              <w:end w:w="80" w:type="dxa"/>
            </w:tcMar>
          </w:tcPr>
          <w:p>
            <w:pPr>
              <w:jc w:val="center"/>
            </w:pPr>
            <w:r>
              <w:rPr>
                <w:rFonts w:ascii="Palatino Linotype" w:hAnsi="Palatino Linotype"/>
                <w:sz w:val="18"/>
              </w:rPr>
              <w:t>Prediction model Risk Of Bias ASsessment Tool + AI</w:t>
            </w:r>
          </w:p>
        </w:tc>
      </w:tr>
      <w:tr>
        <w:tc>
          <w:tcPr>
            <w:tcW w:type="dxa" w:w="5233"/>
            <w:vAlign w:val="center"/>
            <w:tcMar>
              <w:top w:w="80" w:type="dxa"/>
              <w:start w:w="80" w:type="dxa"/>
              <w:bottom w:w="80" w:type="dxa"/>
              <w:end w:w="80" w:type="dxa"/>
            </w:tcMar>
          </w:tcPr>
          <w:p>
            <w:r>
              <w:rPr>
                <w:rFonts w:ascii="Palatino Linotype" w:hAnsi="Palatino Linotype"/>
                <w:sz w:val="18"/>
              </w:rPr>
              <w:t>TRIPOD+AI</w:t>
            </w:r>
          </w:p>
        </w:tc>
        <w:tc>
          <w:tcPr>
            <w:tcW w:type="dxa" w:w="5233"/>
            <w:vAlign w:val="center"/>
            <w:tcMar>
              <w:top w:w="80" w:type="dxa"/>
              <w:start w:w="80" w:type="dxa"/>
              <w:bottom w:w="80" w:type="dxa"/>
              <w:end w:w="80" w:type="dxa"/>
            </w:tcMar>
          </w:tcPr>
          <w:p>
            <w:pPr>
              <w:jc w:val="center"/>
            </w:pPr>
            <w:r>
              <w:rPr>
                <w:rFonts w:ascii="Palatino Linotype" w:hAnsi="Palatino Linotype"/>
                <w:sz w:val="18"/>
              </w:rPr>
              <w:t>Transparent Reporting of a multivariable prediction model for Individual Prognosis Or Diagnosis + AI</w:t>
            </w:r>
          </w:p>
        </w:tc>
      </w:tr>
    </w:tbl>
    <w:p>
      <w:pPr>
        <w:pStyle w:val="MDPI21heading1"/>
        <w:keepNext/>
      </w:pPr>
      <w:r>
        <w:rPr>
          <w:lang w:val="en-GB"/>
        </w:rPr>
        <w:t>References</w:t>
      </w:r>
    </w:p>
    <w:p>
      <w:pPr>
        <w:pStyle w:val="MDPI81references"/>
      </w:pPr>
      <w:r>
        <w:rPr>
          <w:lang w:val="en-GB"/>
        </w:rPr>
        <w:t>Yang F, Teng F, Zhang Y, et al. Single-tooth resolved, whole-mouth prediction of early childhood caries via spatiotemporal variations of plaque microbiota. Cell Host &amp; Microbe. 2025;33(6):1019-1032.e6. https://doi.org/10.1016/j.chom.2025.05.006.</w:t>
      </w:r>
    </w:p>
    <w:p>
      <w:pPr>
        <w:pStyle w:val="MDPI81references"/>
      </w:pPr>
      <w:r>
        <w:rPr>
          <w:lang w:val="en-GB"/>
        </w:rPr>
        <w:t>Toledo Reyes L, Knorst J, Ortiz F, et al. Early Childhood Predictors for Dental Caries: A Machine Learning Approach. Journal of Dental Research. 2023;102(9):999-1006. https://doi.org/10.1177/00220345231170535.</w:t>
      </w:r>
    </w:p>
    <w:p>
      <w:pPr>
        <w:pStyle w:val="MDPI81references"/>
      </w:pPr>
      <w:r>
        <w:rPr>
          <w:lang w:val="en-GB"/>
        </w:rPr>
        <w:t>Dashper SG, Mitchell HL, Lê Cao KA, et al. Temporal development of the oral microbiome and prediction of early childhood caries. Scientific Reports. 2019;9(1):19732. https://doi.org/10.1038/s41598-019-56233-0.</w:t>
      </w:r>
    </w:p>
    <w:p>
      <w:pPr>
        <w:pStyle w:val="MDPI81references"/>
      </w:pPr>
      <w:r>
        <w:rPr>
          <w:lang w:val="en-GB"/>
        </w:rPr>
        <w:t>Blostein F, Bhaumik D, Davis E, et al. Evaluating the ecological hypothesis: early life salivary microbiome assembly predicts dental caries in a longitudinal case-control study. Microbiome. 2022;10(1):240. https://doi.org/10.1186/s40168-022-01442-5.</w:t>
      </w:r>
    </w:p>
    <w:p>
      <w:pPr>
        <w:pStyle w:val="MDPI81references"/>
      </w:pPr>
      <w:r>
        <w:rPr>
          <w:lang w:val="en-GB"/>
        </w:rPr>
        <w:t>Raksakmanut R, Thanyasrisung P, Sritangsirikul S, et al. Prediction of Future Caries in 1-Year-Old Children via the Salivary Microbiome. Journal of Dental Research. 2023;102(6):626-635. https://doi.org/10.1177/00220345231152802.</w:t>
      </w:r>
    </w:p>
    <w:p>
      <w:pPr>
        <w:pStyle w:val="MDPI81references"/>
      </w:pPr>
      <w:r>
        <w:rPr>
          <w:lang w:val="en-GB"/>
        </w:rPr>
        <w:t>Head D, Devine DA, Marsh PD. In silico modelling to differentiate the contribution of sugar frequency versus total amount in driving biofilm dysbiosis in dental caries. Scientific Reports. 2017;7(1):17413. https://doi.org/10.1038/s41598-017-17660-z.</w:t>
      </w:r>
    </w:p>
    <w:p>
      <w:pPr>
        <w:pStyle w:val="MDPI81references"/>
      </w:pPr>
      <w:r>
        <w:rPr>
          <w:lang w:val="en-GB"/>
        </w:rPr>
        <w:t>Martin B, Tamanai-Shacoori Z, Bronsard J, et al. A new mathematical model of bacterial interactions in two-species oral biofilms. PLOS ONE. 2017;12(3):e0173153. https://doi.org/10.1371/journal.pone.0173153.</w:t>
      </w:r>
    </w:p>
    <w:p>
      <w:pPr>
        <w:pStyle w:val="MDPI81references"/>
      </w:pPr>
      <w:r>
        <w:rPr>
          <w:lang w:val="en-GB"/>
        </w:rPr>
        <w:t>Varma S, Simon R. Bias in error estimation when using cross-validation for model selection. BMC Bioinformatics. 2006;7(1):91. https://doi.org/10.1186/1471-2105-7-91.</w:t>
      </w:r>
    </w:p>
    <w:p>
      <w:pPr>
        <w:pStyle w:val="MDPI81references"/>
      </w:pPr>
      <w:r>
        <w:rPr>
          <w:lang w:val="en-GB"/>
        </w:rPr>
        <w:t>Rosenblatt M, Tejavibulya L, Jiang R, et al. Data leakage inflates prediction performance in connectome-based machine learning models. Nature Communications. 2024;15(1):1829. https://doi.org/10.1038/s41467-024-46150-w.</w:t>
      </w:r>
    </w:p>
    <w:p>
      <w:pPr>
        <w:pStyle w:val="MDPI81references"/>
      </w:pPr>
      <w:r>
        <w:rPr>
          <w:lang w:val="en-GB"/>
        </w:rPr>
        <w:t>Collins GS, Moons KGM, Dhiman P, et al. TRIPOD+AI statement: updated guidance for reporting clinical prediction models that use regression or machine learning methods. BMJ. 2024;385:e078378. https://doi.org/10.1136/bmj-2023-078378.</w:t>
      </w:r>
    </w:p>
    <w:p>
      <w:pPr>
        <w:pStyle w:val="MDPI81references"/>
      </w:pPr>
      <w:r>
        <w:rPr>
          <w:lang w:val="en-GB"/>
        </w:rPr>
        <w:t>Moons KGM, Damen JAA, Kaul T, et al. PROBAST+AI: an updated quality, risk of bias, and applicability assessment tool for prediction models using regression or artificial intelligence methods. BMJ. 2025;388:e082505. https://doi.org/10.1136/bmj-2024-082505.</w:t>
      </w:r>
    </w:p>
    <w:p>
      <w:pPr>
        <w:pStyle w:val="MDPI81references"/>
      </w:pPr>
      <w:r>
        <w:rPr>
          <w:lang w:val="en-GB"/>
        </w:rPr>
        <w:t>Teng F, Yang F, Huang S, et al. Prediction of Early Childhood Caries via Spatial-Temporal Variations of Oral Microbiota. Cell Host &amp; Microbe. 2015;18(3):296-306. https://doi.org/10.1016/j.chom.2015.08.005.</w:t>
      </w:r>
    </w:p>
    <w:p>
      <w:pPr>
        <w:pStyle w:val="MDPI81references"/>
      </w:pPr>
      <w:r>
        <w:rPr>
          <w:lang w:val="en-GB"/>
        </w:rPr>
        <w:t>Grier A, Myers J, O’Connor T, et al. Oral Microbiota Composition Predicts Early Childhood Caries Onset. Journal of Dental Research. 2021;100(6):599-607. https://doi.org/10.1177/0022034520979926.</w:t>
      </w:r>
    </w:p>
    <w:p>
      <w:pPr>
        <w:pStyle w:val="MDPI81references"/>
      </w:pPr>
      <w:r>
        <w:rPr>
          <w:lang w:val="en-GB"/>
        </w:rPr>
        <w:t>Jørgensen MR, Twetman S. A systematic review of risk assessment tools for early childhood caries: is there evidence? European Archives of Paediatric Dentistry. 2020;21(2):179-184. https://doi.org/10.1007/s40368-019-00480-2.</w:t>
      </w:r>
    </w:p>
    <w:p>
      <w:pPr>
        <w:pStyle w:val="MDPI81references"/>
      </w:pPr>
      <w:r>
        <w:rPr>
          <w:lang w:val="en-GB"/>
        </w:rPr>
        <w:t>Moynihan P, Tanner L, Holmes R, et al. Systematic Review of Evidence Pertaining to Factors That Modify Risk of Early Childhood Caries. JDR Clinical &amp; Translational Research. 2019;4(3):202-216. https://doi.org/10.1177/2380084418824262.</w:t>
      </w:r>
    </w:p>
    <w:p>
      <w:pPr>
        <w:pStyle w:val="MDPI81references"/>
      </w:pPr>
      <w:r>
        <w:rPr>
          <w:lang w:val="en-GB"/>
        </w:rPr>
        <w:t>Gloor GB, Macklaim JM, Pawlowsky-Glahn V, et al. Microbiome Datasets Are Compositional: And This Is Not Optional. Frontiers in Microbiology. 2017;8:2224. https://doi.org/10.3389/fmicb.2017.02224.</w:t>
      </w:r>
    </w:p>
    <w:p>
      <w:pPr>
        <w:pStyle w:val="MDPI81references"/>
      </w:pPr>
      <w:r>
        <w:rPr>
          <w:lang w:val="en-GB"/>
        </w:rPr>
        <w:t>Quinn TP, Erb I, Gloor G, et al. A field guide for the compositional analysis of any-omics data. GigaScience. 2019;8(9):giz107. https://doi.org/10.1093/gigascience/giz107.</w:t>
      </w:r>
    </w:p>
    <w:p>
      <w:pPr>
        <w:pStyle w:val="MDPI81references"/>
      </w:pPr>
      <w:r>
        <w:rPr>
          <w:lang w:val="en-GB"/>
        </w:rPr>
        <w:t>Saito T, Rehmsmeier M. The Precision-Recall Plot Is More Informative than the ROC Plot When Evaluating Binary Classifiers on Imbalanced Datasets. PLOS ONE. 2015;10(3):e0118432. https://doi.org/10.1371/journal.pone.0118432.</w:t>
      </w:r>
    </w:p>
    <w:p>
      <w:pPr>
        <w:pStyle w:val="MDPI81references"/>
      </w:pPr>
      <w:r>
        <w:rPr>
          <w:lang w:val="en-GB"/>
        </w:rPr>
        <w:t>Richardson E, Trevizani R, Greenbaum JA, et al. The receiver operating characteristic curve accurately assesses imbalanced datasets. Patterns. 2024;5(6):100994. https://doi.org/10.1016/j.patter.2024.100994.</w:t>
      </w:r>
    </w:p>
    <w:p>
      <w:pPr>
        <w:pStyle w:val="MDPI81references"/>
      </w:pPr>
      <w:r>
        <w:rPr>
          <w:lang w:val="en-GB"/>
        </w:rPr>
        <w:t>Van Calster B, McLernon DJ, van Smeden M, et al. Calibration: the Achilles heel of predictive analytics. BMC Medicine. 2019;17(1):230. https://doi.org/10.1186/s12916-019-1466-7.</w:t>
      </w:r>
    </w:p>
    <w:p>
      <w:pPr>
        <w:pStyle w:val="MDPI81references"/>
      </w:pPr>
      <w:r>
        <w:rPr>
          <w:lang w:val="en-GB"/>
        </w:rPr>
        <w:t>Collins GS, Dhiman P, Ma J, et al. Evaluation of clinical prediction models (part 1): from development to external validation. BMJ. 2024;384:e074819. https://doi.org/10.1136/bmj-2023-074819.</w:t>
      </w:r>
    </w:p>
    <w:p>
      <w:pPr>
        <w:pStyle w:val="MDPI81references"/>
      </w:pPr>
      <w:r>
        <w:rPr>
          <w:lang w:val="en-GB"/>
        </w:rPr>
        <w:t>Riley RD, Archer L, Snell KIE, et al. Evaluation of clinical prediction models (part 2): how to undertake an external validation study. BMJ. 2024;384:e074820. https://doi.org/10.1136/bmj-2023-074820.</w:t>
      </w:r>
    </w:p>
    <w:p>
      <w:pPr>
        <w:pStyle w:val="MDPI81references"/>
      </w:pPr>
      <w:r>
        <w:rPr>
          <w:lang w:val="en-GB"/>
        </w:rPr>
        <w:t>Riley RD, Ensor J, Snell KIE, Harrell FE Jr, Martin GP, Reitsma JB, Moons KGM, Collins GS, van Smeden M. Calculating the sample size required for developing a clinical prediction model. BMJ. 2020;368:m441. https://doi.org/10.1136/bmj.m441.</w:t>
      </w:r>
    </w:p>
    <w:p>
      <w:pPr>
        <w:pStyle w:val="MDPI81references"/>
      </w:pPr>
      <w:r>
        <w:rPr>
          <w:lang w:val="en-GB"/>
        </w:rPr>
        <w:t>Riley RD, Snell KIE, Archer L, Ensor J, Debray TPA, Van Calster B, van Smeden M, Collins GS. Evaluation of clinical prediction models (part 3): calculating the sample size required for an external validation study. BMJ. 2024;384:e074821. https://doi.org/10.1136/bmj-2023-074821.</w:t>
      </w:r>
    </w:p>
    <w:p>
      <w:pPr>
        <w:pStyle w:val="MDPI81references"/>
      </w:pPr>
      <w:r>
        <w:rPr>
          <w:lang w:val="en-GB"/>
        </w:rPr>
        <w:t>Wolff RF, Moons KG, Riley RD, et al. PROBAST: A Tool to Assess the Risk of Bias and Applicability of Prediction Model Studies. Annals of Internal Medicine. 2019;170(1):51-58. https://doi.org/10.7326/M18-1376.</w:t>
      </w:r>
    </w:p>
    <w:p>
      <w:pPr>
        <w:pStyle w:val="MDPI81references"/>
      </w:pPr>
      <w:r>
        <w:rPr>
          <w:lang w:val="en-GB"/>
        </w:rPr>
        <w:t>Vickers AJ, Elkin EB. Decision Curve Analysis: A Novel Method for Evaluating Prediction Models. Medical Decision Making. 2006;26(6):565-574. https://doi.org/10.1177/0272989X06295361.</w:t>
      </w:r>
    </w:p>
    <w:p>
      <w:pPr>
        <w:pStyle w:val="MDPI81references"/>
      </w:pPr>
      <w:r>
        <w:rPr>
          <w:lang w:val="en-GB"/>
        </w:rPr>
        <w:t>Ho TE, Yang YM, Gu WJ, et al. Construction of an early childhood caries risk prediction model based on the oral microbiome: a nested case‒control study. BMC Oral Health. 2025;25(1):923. https://doi.org/10.1186/s12903-025-06147-3.</w:t>
      </w:r>
    </w:p>
    <w:p>
      <w:pPr>
        <w:pStyle w:val="MDPI81references"/>
      </w:pPr>
      <w:r>
        <w:rPr>
          <w:lang w:val="en-GB"/>
        </w:rPr>
        <w:t>Valm AM. The Structure of Dental Plaque Microbial Communities in the Transition from Health to Dental Caries and Periodontal Disease. Journal of Molecular Biology. 2019;431(16):2957-2969. https://doi.org/10.1016/j.jmb.2019.05.016.</w:t>
      </w:r>
    </w:p>
    <w:p>
      <w:pPr>
        <w:pStyle w:val="MDPI81references"/>
      </w:pPr>
      <w:r>
        <w:rPr>
          <w:lang w:val="en-GB"/>
        </w:rPr>
        <w:t>Collins GS, Reitsma JB, Altman DG, et al. Transparent Reporting of a multivariable prediction model for Individual Prognosis Or Diagnosis (TRIPOD): The TRIPOD Statement. Annals of Internal Medicine. 2015;162(1):55-63. https://doi.org/10.7326/M14-0697.</w:t>
      </w:r>
    </w:p>
    <w:p>
      <w:pPr>
        <w:pStyle w:val="MDPI81references"/>
      </w:pPr>
      <w:r>
        <w:rPr>
          <w:lang w:val="en-GB"/>
        </w:rPr>
        <w:t>Efthimiou O, Seo M, Chalkou K, et al. Developing clinical prediction models: a step-by-step guide. BMJ. 2024;386:e078276. https://doi.org/10.1136/bmj-2023-078276.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t>Dent. J. 2026, 14,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jc w:val="right"/>
      <w:rPr>
        <w:sz w:val="16"/>
      </w:rPr>
    </w:pPr>
    <w:r>
      <w:rPr>
        <w:rFonts w:ascii="Palatino Linotype" w:hAnsi="Palatino Linotype"/>
        <w:sz w:val="16"/>
      </w:rPr>
      <w:t xml:space="preserve">Dent. J. 2026, 14, x FOR PEER REVIEW   </w:t>
    </w:r>
    <w:r>
      <w:fldChar w:fldCharType="begin"/>
      <w:instrText xml:space="preserve">PAGE</w:instrText>
      <w:fldChar w:fldCharType="end"/>
    </w:r>
    <w:r>
      <w:rPr>
        <w:rFonts w:ascii="Palatino Linotype" w:hAnsi="Palatino Linotype"/>
        <w:sz w:val="16"/>
      </w:rPr>
      <w:t xml:space="preserve"> of </w:t>
    </w:r>
    <w:r>
      <w:fldChar w:fldCharType="begin"/>
      <w:instrText xml:space="preserve">NUMPAGES</w:instrText>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6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846"/>
      <w:gridCol w:w="4535"/>
      <w:gridCol w:w="2273"/>
    </w:tblGrid>
    <w:tr>
      <w:trPr>
        <w:trHeight w:val="686" w:hRule="atLeast"/>
        <w:tblHeader w:val="true"/>
      </w:trPr>
      <w:tc>
        <w:tcPr>
          <w:tcW w:w="3846" w:type="dxa"/>
          <w:tcBorders/>
          <w:vAlign w:val="center"/>
        </w:tcPr>
        <w:p>
          <w:pPr>
            <w:pStyle w:val="Header"/>
            <w:pBdr>
              <w:bottom w:val="nil"/>
            </w:pBdr>
            <w:jc w:val="left"/>
            <w:rPr>
              <w:rFonts w:eastAsia="等线"/>
              <w:b/>
              <w:bCs/>
            </w:rPr>
          </w:pPr>
          <w:r>
            <w:rPr/>
            <w:drawing>
              <wp:inline distT="0" distB="0" distL="0" distR="0">
                <wp:extent cx="1764665" cy="431800"/>
                <wp:effectExtent l="0" t="0" r="0" b="0"/>
                <wp:docPr id="4" name="Image4"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1764665" cy="431800"/>
                        </a:xfrm>
                        <a:prstGeom prst="rect">
                          <a:avLst/>
                        </a:prstGeom>
                        <a:noFill/>
                      </pic:spPr>
                    </pic:pic>
                  </a:graphicData>
                </a:graphic>
              </wp:inline>
            </w:drawing>
          </w:r>
        </w:p>
      </w:tc>
      <w:tc>
        <w:tcPr>
          <w:tcW w:w="4535"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right"/>
            <w:rPr>
              <w:rFonts w:eastAsia="等线"/>
              <w:b/>
              <w:bCs/>
            </w:rPr>
          </w:pPr>
          <w:r>
            <w:rPr/>
            <w:drawing>
              <wp:inline distT="0" distB="0" distL="0" distR="0">
                <wp:extent cx="539750" cy="360045"/>
                <wp:effectExtent l="0" t="0" r="0" b="0"/>
                <wp:docPr id="5" name="Image5"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rsid w:val="009e44c0"/>
    <w:rPr>
      <w:rFonts w:ascii="Palatino Linotype" w:hAnsi="Palatino Linotype"/>
      <w:sz w:val="16"/>
    </w:rPr>
  </w:style>
  <w:style w:type="character" w:styleId="Hyper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CommentReference">
    <w:name w:val="annotation reference"/>
    <w:qFormat/>
    <w:rsid w:val="006a1913"/>
    <w:rPr>
      <w:sz w:val="21"/>
      <w:szCs w:val="21"/>
    </w:rPr>
  </w:style>
  <w:style w:type="character" w:styleId="CommentTextChar" w:customStyle="1">
    <w:name w:val="Comment Text Char"/>
    <w:link w:val="Comment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6a1913"/>
    <w:rPr>
      <w:rFonts w:ascii="Palatino Linotype" w:hAnsi="Palatino Linotype"/>
      <w:color w:val="000000"/>
    </w:rPr>
  </w:style>
  <w:style w:type="character" w:styleId="FollowedHyperlink">
    <w:name w:val="FollowedHyperlink"/>
    <w:rsid w:val="006a1913"/>
    <w:rPr>
      <w:color w:val="954F72"/>
      <w:u w:val="single"/>
    </w:rPr>
  </w:style>
  <w:style w:type="character" w:styleId="FootnoteTextChar" w:customStyle="1">
    <w:name w:val="Footnote Text Char"/>
    <w:link w:val="FootnoteText"/>
    <w:semiHidden/>
    <w:qFormat/>
    <w:rsid w:val="006a1913"/>
    <w:rPr>
      <w:rFonts w:ascii="Palatino Linotype" w:hAnsi="Palatino Linotype"/>
      <w:color w:val="000000"/>
    </w:rPr>
  </w:style>
  <w:style w:type="character" w:styleId="PageNumber">
    <w:name w:val="page number"/>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right="113"/>
      <w:jc w:val="lef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lef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rFonts w:ascii="Palatino Linotype" w:hAnsi="Palatino Linotype"/>
      <w:sz w:val="20"/>
    </w:rPr>
  </w:style>
  <w:style w:type="paragraph" w:styleId="MDPI31text" w:customStyle="1">
    <w:name w:val="MDPI_3.1_text"/>
    <w:qFormat/>
    <w:rsid w:val="00166ad1"/>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lef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lef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lef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lef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lef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left="2608"/>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left="2608"/>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right="113"/>
      <w:jc w:val="lef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left="2608"/>
      <w:jc w:val="both"/>
    </w:pPr>
    <w:rPr>
      <w:rFonts w:ascii="Palatino Linotype" w:hAnsi="Palatino Linotype" w:eastAsia="Times New Roman" w:cs="Times New Roman"/>
      <w:color w:val="000000"/>
      <w:kern w:val="0"/>
      <w:sz w:val="20"/>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CommentText">
    <w:name w:val="annotation text"/>
    <w:basedOn w:val="Normal"/>
    <w:link w:val="CommentTextChar"/>
    <w:rsid w:val="006a1913"/>
    <w:pPr/>
    <w:rPr/>
  </w:style>
  <w:style w:type="paragraph" w:styleId="annotationsubject">
    <w:name w:val="annotation subject"/>
    <w:basedOn w:val="CommentText"/>
    <w:next w:val="CommentText"/>
    <w:link w:val="CommentSubjectChar"/>
    <w:qFormat/>
    <w:rsid w:val="006a1913"/>
    <w:pPr/>
    <w:rPr>
      <w:b/>
      <w:bCs/>
    </w:rPr>
  </w:style>
  <w:style w:type="paragraph" w:styleId="EndnoteText">
    <w:name w:val="endnote text"/>
    <w:basedOn w:val="Normal"/>
    <w:link w:val="EndnoteTextChar"/>
    <w:semiHidden/>
    <w:unhideWhenUsed/>
    <w:rsid w:val="006a1913"/>
    <w:pPr>
      <w:spacing w:lineRule="auto" w:line="240"/>
    </w:pPr>
    <w:rPr/>
  </w:style>
  <w:style w:type="paragraph" w:styleId="FootnoteText">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LibreOffice/25.2.3.2$Linux_X86_64 LibreOffice_project/520$Build-2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Revised to MDPI Dentistry Journal structure. Yellow-highlighted placeholders require author verification before submission.</dc:description>
  <dc:language>en-US</dc:language>
  <cp:lastModifiedBy>MDPI</cp:lastModifiedBy>
  <dcterms:modified xsi:type="dcterms:W3CDTF">2025-08-12T09:28:00Z</dcterms:modified>
  <cp:revision>3</cp:revision>
  <dc:subject>Dentistry Journal manuscript - secondary analysis and internal validation</dc:subject>
  <dc:title>Development and Internal Validation of a Tooth-Level Early-Childhood Caries Prediction Model with a Prespecified External Validation Protocol</dc:title>
  <cp:keywords>early-childhood caries; clinical prediction; internal validation; calibration; tooth-level risk</cp:keywords>
</cp:coreProperties>
</file>

<file path=docProps/custom.xml><?xml version="1.0" encoding="utf-8"?>
<Properties xmlns="http://schemas.openxmlformats.org/officeDocument/2006/custom-properties" xmlns:vt="http://schemas.openxmlformats.org/officeDocument/2006/docPropsVTypes"/>
</file>