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t>Development and Internal Validation of Tooth-Level Early-Childhood Caries Models Using a Public Longitudinal Cohort</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t>Background/Objectives: Early-childhood caries (ECC) is tooth-specific, yet transportable tooth-level risk prediction remains insufficiently validated. We aimed to develop and internally validate transparent clinical prediction models using a public longitudinal cohort and to propose a framework for independent external validation. Methods: 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Results: 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small number of children and events limits development precision. Conclusions: The models show exploratory internal predictive signal, but incremental spatial benefit, transportability, and clinical utility are unestablished. The models are research instruments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analysis and a proposed external-validation framework.</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raising a substantial concern in the PROBAST+AI Participants domain.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keepNext/>
        <w:spacing w:line="240" w:lineRule="auto" w:before="0" w:after="0"/>
        <w:ind w:left="0" w:right="0"/>
        <w:jc w:val="center"/>
      </w:pPr>
      <w:r>
        <w:drawing>
          <wp:inline xmlns:a="http://schemas.openxmlformats.org/drawingml/2006/main">
            <wp:extent cx="5303520" cy="424281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4242816"/>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t>Reporting and methodological limitations were mapped to the domains of TRIPOD+AI [10] and PROBAST+AI [11]. Supplementary Files S3 and S4 provide internal evidence maps and outstanding author checks. These summaries are not complete independently adjudicated checklist assessments or certification of low risk of bias.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splitter is defined explicitly in the code rather than delegated to a version-dependent shuffled allocation. The current execution used scikit-learn 1.8.0; its software versions and aggregate fold composition are recorded in Supplementary File S2.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t>The development sample size was fixed by the available public cohort; no prospective sample-size calculation was possible. The limited number of events raises concern about overfitting. Effective degrees of freedom for the penalised models were not estimated; raw feature counts should not be equated with effective degrees of freedom.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t>2.5. Research Candidate and Proposed External Validation Framework</w:t>
      </w:r>
    </w:p>
    <w:p>
      <w:pPr>
        <w:pStyle w:val="MDPI31text"/>
      </w:pPr>
      <w:r>
        <w:t>This submission provides a reproducible internal-validation analysis and a proposed external-validation framework. The supplied Colab notebook does not create a final fitted inference artifact. Selection, fitting, serialization and hash locking of a future research candidate must be completed before external evaluation. Neither reproducibility nor version locking constitutes external validation.</w:t>
      </w:r>
    </w:p>
    <w:p>
      <w:pPr>
        <w:pStyle w:val="MDPI31text"/>
      </w:pPr>
      <w:r>
        <w:t>Proposed candidate. The minimal clinical feature set is a pragmatic candidate for future external evaluation because tooth position, age, host dmfs and adjacent caries counts are plausibly available during routine examinations. This choice remains a proposal. The spatial feature set should remain exploratory until the acquisition timing and prospective availability of its source-derived fields have been independently verified.</w:t>
      </w:r>
    </w:p>
    <w:p>
      <w:pPr>
        <w:pStyle w:val="MDPI31text"/>
      </w:pPr>
      <w:r>
        <w:t>Future locking procedure. Before independent external evaluation, investigators should select the candidate regularisation policy using development data only, document the calibration procedure, fit the final pipeline, serialize preprocessing and coefficients, and record the source digest, software versions and artifact hash. No external outcomes should influence this process.</w:t>
      </w:r>
    </w:p>
    <w:p>
      <w:pPr>
        <w:pStyle w:val="MDPI31text"/>
      </w:pPr>
      <w:r>
        <w:t>Performance reporting. The estimates reported here evaluate fold-wise development and recalibration on held-out children. A future full-cohort fit would not inherit an independent validation claim from these estimates. Apparent training performance must be kept separate from the nested out-of-fold results.</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t>Proposed external-validation analysis. A future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t>The submission notebook isolates the real clinical reconstruction, two fixed feature sets, corrected child-grouped splitting, train-only recalibration, aggregate performance and deterministic Figure 5 rendering. Synthetic demonstrations and experimental microbiome, image and FHIR branches in the broader engineering notebook are outside the manuscript evidence boundary. Supplementary File S2 documents the current execution and the verification limits.</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rPr>
          <w:tblHeader w:val="true"/>
          <w:tblHeader/>
        </w:trPr>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Stage</w:t>
            </w:r>
          </w:p>
        </w:tc>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Records</w:t>
            </w:r>
          </w:p>
        </w:tc>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Children or events</w:t>
            </w:r>
          </w:p>
        </w:tc>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Interpretation</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Public all_metadata worksheet</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2,504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89 children</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Source records before tooth filtering</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Composite position T5161</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220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Excluded from individual-tooth modelling</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Single-tooth rows</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2,284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Tooth-level records</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Same-tooth observed transitions</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1,388</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Any successive recorded visits</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Consecutive-index transitions</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1,160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913 H→H; 84 H→C; 163 C→C; 0 C→H</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Exact transition rule</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Healthy-at-t onset cohort</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997</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84 events</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Reproduced target counts</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pPr>
            <w:r>
              <w:rPr>
                <w:rFonts w:ascii="Palatino Linotype" w:hAnsi="Palatino Linotype"/>
                <w:sz w:val="17"/>
              </w:rPr>
              <w:t>Primary predictive analysis</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996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83 events; 81 children</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One zero-month interval excluded</w:t>
            </w:r>
          </w:p>
        </w:tc>
      </w:tr>
    </w:tbl>
    <w:p>
      <w:pPr>
        <w:pStyle w:val="MDPI43tablefooter"/>
      </w:pPr>
      <w:r>
        <w:rPr>
          <w:lang w:val="en-GB"/>
        </w:rPr>
        <w:t>H = clinically healthy; C = carious at the next recorded visit.</w:t>
      </w:r>
    </w:p>
    <w:p>
      <w:pPr>
        <w:pStyle w:val="MDPI32textnoindent"/>
        <w:keepNext/>
        <w:spacing w:line="240" w:lineRule="auto" w:before="0" w:after="0"/>
        <w:ind w:left="0" w:right="0"/>
        <w:jc w:val="center"/>
      </w:pPr>
      <w:r>
        <w:drawing>
          <wp:inline xmlns:a="http://schemas.openxmlformats.org/drawingml/2006/main">
            <wp:extent cx="3840480" cy="478043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4780433"/>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rPr>
          <w:tblHeader w:val="true"/>
          <w:tblHeader/>
        </w:trPr>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Model</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Average precision (95% interval)</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AUROC (95% interval)</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Brier score (95% interval)</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Log loss</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Minimal clinical</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0.166 (0.120–0.246)</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0.686 (0.618–0.754)</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0.0806 (0.0624–0.0996)</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0.2884</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Clinical plus spatial</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0.178 (0.138–0.239)</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0.737 (0.660–0.804)</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0.0754 (0.0574–0.0949)</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0.2690</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pPr>
            <w:r>
              <w:rPr>
                <w:rFonts w:ascii="Palatino Linotype" w:hAnsi="Palatino Linotype"/>
                <w:sz w:val="17"/>
              </w:rPr>
              <w:t>Fold-specific training prevalence</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0.0764</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keepNext/>
        <w:spacing w:line="240" w:lineRule="auto" w:before="0" w:after="0"/>
        <w:ind w:left="0" w:right="0"/>
        <w:jc w:val="center"/>
      </w:pPr>
      <w:r>
        <w:drawing>
          <wp:inline xmlns:a="http://schemas.openxmlformats.org/drawingml/2006/main">
            <wp:extent cx="5303520" cy="209081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090810"/>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rPr>
          <w:tblHeader w:val="true"/>
          <w:tblHeader/>
        </w:trPr>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Model and probability version</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Mean risk</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Calibration slope</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Brier score</w:t>
            </w:r>
          </w:p>
        </w:tc>
        <w:tc>
          <w:tcPr>
            <w:tcW w:type="dxa" w:w="20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Log loss</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Minimal, uncalibrated</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0.1182</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0.516</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0.0806</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0.2884</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Minimal, intercept only</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0.0819</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0.613</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0.0762</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0.2730</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Minimal, intercept and slope</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0.0802</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0.808</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0.0745</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0.2680</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Spatial, uncalibrated</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0.0878</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0.605</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0.0754</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0.2690</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Spatial, intercept only</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0.0810</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0.603</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0.0753</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0.2690</w:t>
            </w:r>
          </w:p>
        </w:tc>
      </w:tr>
      <w:tr>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pPr>
            <w:r>
              <w:rPr>
                <w:rFonts w:ascii="Palatino Linotype" w:hAnsi="Palatino Linotype"/>
                <w:sz w:val="17"/>
              </w:rPr>
              <w:t>Spatial, intercept and slope</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0.0827</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0.811</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0.0740</w:t>
            </w:r>
          </w:p>
        </w:tc>
        <w:tc>
          <w:tcPr>
            <w:tcW w:type="dxa" w:w="20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keepNext/>
        <w:spacing w:line="240" w:lineRule="auto" w:before="0" w:after="0"/>
        <w:ind w:left="0" w:right="0"/>
        <w:jc w:val="center"/>
      </w:pPr>
      <w:r>
        <w:drawing>
          <wp:inline xmlns:a="http://schemas.openxmlformats.org/drawingml/2006/main">
            <wp:extent cx="5303520" cy="2090810"/>
            <wp:docPr id="9" name="Picture 9"/>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5303520" cy="209081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t>Outcome events were not distributed evenly across the dentition. All 83 events in the analysis cohort occurred in the eight primary molar positions (T54, T55, T64, T65, T74, T75, T84, T85); the 181 anterior-tooth transitions contributed no events (Table 4, Figure 5). Position-specific event fractions ranged from 0.028 to 0.165, with the highest values in second primary molars and first molars. Because anterior teeth have an event fraction of exactly zero in this cohort, tooth_position distinguishes an event-free subgroup in this particular sample from the event-bearing molar positions. This is a property of the source data, not a modelling artefact, and it has three consequences for interpretation.</w:t>
      </w:r>
    </w:p>
    <w:p>
      <w:pPr>
        <w:pStyle w:val="MDPI31text"/>
      </w:pPr>
      <w:r>
        <w:t>First, the reported predictive performance is conditional on a cohort in which the anterior-tooth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event was observed. Third, the comparison between the minimal and clinical-spatial models is partly driven by this position structure, which both feature sets encode.</w:t>
      </w:r>
    </w:p>
    <w:p>
      <w:pPr>
        <w:pStyle w:val="MDPI32textnoindent"/>
        <w:keepNext/>
        <w:spacing w:line="240" w:lineRule="auto" w:before="0" w:after="0"/>
        <w:ind w:left="0" w:right="0"/>
        <w:jc w:val="center"/>
      </w:pPr>
      <w:r>
        <w:drawing>
          <wp:inline xmlns:a="http://schemas.openxmlformats.org/drawingml/2006/main">
            <wp:extent cx="5303520" cy="3977639"/>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977639"/>
                    </a:xfrm>
                    <a:prstGeom prst="rect"/>
                  </pic:spPr>
                </pic:pic>
              </a:graphicData>
            </a:graphic>
          </wp:inline>
        </w:drawing>
      </w:r>
    </w:p>
    <w:p>
      <w:pPr>
        <w:pStyle w:val="MDPI51figurecaption"/>
        <w:keepNext/>
      </w:pPr>
      <w:r>
        <w:t>Figure 5. Eligible tooth transitions and observed healthy-to-carious events in the 996-transition cohort. Panel (a) shows a vector schematic of primary dentition; circle area is proportional to transition count, fill represents the observed event fraction, and heavy red outlines identify event-bearing positions. Lower-incisor labels T82, T81, T71 and T72 form an external lower arc. Panel (b) uses the source X/Y coordinates; overlapping observations do not represent separate visible teeth. The anatomy is schematic and zero observed events do not imply zero risk.</w:t>
      </w:r>
    </w:p>
    <w:p>
      <w:pPr>
        <w:pStyle w:val="MDPI41tablecaption"/>
        <w:keepNext/>
        <w:pageBreakBefore/>
        <w:spacing w:after="0"/>
      </w:pPr>
      <w:r>
        <w:rPr>
          <w:lang w:val="en-GB"/>
        </w:rPr>
        <w:t>Table 4. Transition counts and observed event fractions by tooth position in the primary analysis cohort.</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rPr>
          <w:tblHeader w:val="true"/>
          <w:tblHeader/>
        </w:trPr>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Tooth position</w:t>
            </w:r>
          </w:p>
        </w:tc>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Transitions</w:t>
            </w:r>
          </w:p>
        </w:tc>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Events</w:t>
            </w:r>
          </w:p>
        </w:tc>
        <w:tc>
          <w:tcPr>
            <w:tcW w:type="dxa" w:w="261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Event fraction</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T51</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T52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T53</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T54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98</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3</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0.031</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T55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122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0.115</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T61</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T62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T63</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T64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106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3</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0.028</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T65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119</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0.126</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T71</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T72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T73</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T74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94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0.106</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T75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91</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0.165</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T81</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T82</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T83</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16</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0.000</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T84</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88</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8</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0.091</w:t>
            </w:r>
          </w:p>
        </w:tc>
      </w:tr>
      <w:tr>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pPr>
            <w:r>
              <w:rPr>
                <w:rFonts w:ascii="Palatino Linotype" w:hAnsi="Palatino Linotype"/>
                <w:sz w:val="17"/>
              </w:rPr>
              <w:t>T85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97</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15</w:t>
            </w:r>
          </w:p>
        </w:tc>
        <w:tc>
          <w:tcPr>
            <w:tcW w:type="dxa" w:w="261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t>No real microbiome model, image model, patient-linked multimodal fusion or independent external validation is used to support this manuscript. The submission notebook excludes those branches. Archived outputs from earlier notebook versions are historical material and are not pooled with the current execution.</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t>The analysis uses one public cohort and a modest number of children and events, with multiple teeth per child. Only 83 events were available, creating substantial uncertainty and potential overfitting; effective model degrees of freedom were not estimated.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No serialized full-cohort inference model is included; performance reporting must cite the fold-wise estimates. Executable outputs and software versions are pinned in the current reproducibility package; results from historical notebook configurations are not pooled.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The reproducible analysis and proposed external-validation framework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t>Supplementary Materials: File S1 describes the executed analysis workflow; File S2 documents execution and computational provenance; File S3 maps reporting domains to available evidence and outstanding information; File S4 records an internal risk-of-bias appraisal. The accompanying package contains the Colab notebook, runner, aggregate metrics, aggregate tooth-position data, native raster/vector figures, runtime versions and file hashes.</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t>Data Availability Statement: This secondary analysis uses the public all_metadata worksheet released with Yang et al. [1], available in HuangShiLab/Single-tooth-ECC at commit e5868fe5664460c7aac1c5b6d7980776ad26b29c. The source SHA-256 is b7819fee81efbe2e227b7700c3cd86ce8bc6f7fe6f49da6214f4107d099184fa. The accompanying reproducibility package contains analysis code, aggregate outputs and deterministic figure scripts. Participant-level third-party source records are retrieved locally and are not redistributed in this package. Persistent OSF/GitHub URLs must be added after deposition is verified.</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fixed"/>
        <w:tblLook w:firstColumn="1" w:firstRow="1" w:lastColumn="0" w:lastRow="0" w:noHBand="0" w:noVBand="1" w:val="04A0"/>
      </w:tblPr>
      <w:tblGrid>
        <w:gridCol w:w="5233"/>
        <w:gridCol w:w="5233"/>
      </w:tblGrid>
      <w:tr>
        <w:trPr>
          <w:tblHeader w:val="true"/>
          <w:tblHeader/>
        </w:trPr>
        <w:tc>
          <w:tcPr>
            <w:tcW w:type="dxa" w:w="523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Abbreviation</w:t>
            </w:r>
          </w:p>
        </w:tc>
        <w:tc>
          <w:tcPr>
            <w:tcW w:type="dxa" w:w="523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jc w:val="center"/>
            </w:pPr>
            <w:r>
              <w:rPr>
                <w:rFonts w:ascii="Palatino Linotype" w:hAnsi="Palatino Linotype"/>
                <w:b/>
                <w:sz w:val="17"/>
              </w:rPr>
              <w:t>Definition</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AUPRC</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Area under the precision–recall curve</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AUROC</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Area under the receiver-operating-characteristic curve</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ECC</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Early-childhood caries</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FDI</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Fédération Dentaire Internationale tooth notation</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OOF</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Out-of-fold</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pPr>
            <w:r>
              <w:rPr>
                <w:rFonts w:ascii="Palatino Linotype" w:hAnsi="Palatino Linotype"/>
                <w:sz w:val="17"/>
              </w:rPr>
              <w:t>PROBAST+AI</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pageBreakBefore w:val="0"/>
              <w:jc w:val="center"/>
            </w:pPr>
            <w:r>
              <w:rPr>
                <w:rFonts w:ascii="Palatino Linotype" w:hAnsi="Palatino Linotype"/>
                <w:sz w:val="17"/>
              </w:rPr>
              <w:t>Prediction model Risk Of Bias ASsessment Tool + AI</w:t>
            </w:r>
          </w:p>
        </w:tc>
      </w:tr>
      <w:tr>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pPr>
            <w:r>
              <w:rPr>
                <w:rFonts w:ascii="Palatino Linotype" w:hAnsi="Palatino Linotype"/>
                <w:sz w:val="17"/>
              </w:rPr>
              <w:t>TRIPOD+AI</w:t>
            </w:r>
          </w:p>
        </w:tc>
        <w:tc>
          <w:tcPr>
            <w:tcW w:type="dxa" w:w="523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jc w:val="center"/>
            </w:pPr>
            <w:r>
              <w:rPr>
                <w:rFonts w:ascii="Palatino Linotype" w:hAnsi="Palatino Linotype"/>
                <w:sz w:val="17"/>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