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Bdr>
          <w:bottom w:val="single" w:color="C5941A" w:sz="12" w:space="1"/>
        </w:pBd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93B5F"/>
          <w:sz w:val="48"/>
          <w:szCs w:val="48"/>
        </w:rPr>
        <w:t xml:space="preserve">Instruções de Acesso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C5941A"/>
          <w:sz w:val="36"/>
          <w:szCs w:val="36"/>
        </w:rPr>
        <w:t xml:space="preserve">Access Instructions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Plataforma FX Experience — Freudenberg Group</w:t>
      </w:r>
    </w:p>
    <w:p>
      <w:pPr>
        <w:pBdr>
          <w:bottom w:val="single" w:color="C5941A" w:sz="12" w:space="1"/>
        </w:pBd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93B5F"/>
                <w:sz w:val="20"/>
                <w:szCs w:val="20"/>
              </w:rPr>
              <w:t xml:space="preserve">Para / To: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Carla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93B5F"/>
                <w:sz w:val="20"/>
                <w:szCs w:val="20"/>
              </w:rPr>
              <w:t xml:space="preserve">De / From: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Marcelo Gomes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93B5F"/>
                <w:sz w:val="20"/>
                <w:szCs w:val="20"/>
              </w:rPr>
              <w:t xml:space="preserve">Data / Date: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12/03/2026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93B5F"/>
                <w:sz w:val="20"/>
                <w:szCs w:val="20"/>
              </w:rPr>
              <w:t xml:space="preserve">Versão / 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400"/>
      </w:pPr>
    </w:p>
    <w:p>
      <w:pPr>
        <w:spacing w:after="12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Olá Carla,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Segue abaixo as instruções detalhadas para acessar a plataforma FX Experience. Este documento contém todos os passos necessários, desde o acesso inicial até a navegação pelas funcionalidades da plataforma.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Below you will find detailed instructions to access the FX Experience platform. This document covers all the steps needed, from initial access to navigating the platform’s features.</w:t>
      </w:r>
    </w:p>
    <w:p>
      <w:r>
        <w:br w:type="page"/>
      </w:r>
    </w:p>
    <w:p>
      <w:pPr>
        <w:pStyle w:val="Heading1"/>
      </w:pPr>
      <w:r>
        <w:t xml:space="preserve">1. Acesso ao Portal / Client Portal Access</w:t>
      </w:r>
    </w:p>
    <w:p>
      <w:pPr>
        <w:pBdr>
          <w:bottom w:val="single" w:color="C5941A" w:sz="6" w:space="1"/>
        </w:pBdr>
        <w:spacing w:after="120" w:before="120"/>
      </w:pP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Passo 1 / Step 1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No site da Follow Advisor, clique no botão “Access to Client” (Acesso ao Cliente) no canto direito.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On the Follow Advisor website, click the “Access to Client” button on the right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3B5F" w:sz="2"/>
              <w:left w:val="single" w:color="C5941A" w:sz="8"/>
              <w:bottom w:val="single" w:color="293B5F" w:sz="2"/>
              <w:right w:val="single" w:color="293B5F" w:sz="2"/>
            </w:tcBorders>
            <w:shd w:fill="EEF2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3B5F"/>
                <w:sz w:val="22"/>
                <w:szCs w:val="22"/>
              </w:rPr>
              <w:t xml:space="preserve">Credenciais / Credentials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Endereço / URL:  </w:t>
            </w:r>
            <w:r>
              <w:rPr>
                <w:rFonts w:ascii="Arial" w:cs="Arial" w:eastAsia="Arial" w:hAnsi="Arial"/>
                <w:b/>
                <w:bCs/>
                <w:color w:val="C5941A"/>
                <w:sz w:val="22"/>
                <w:szCs w:val="22"/>
              </w:rPr>
              <w:t xml:space="preserve">https://www.followadvisor.com/acessocliente/acessocliente/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Login:  </w:t>
            </w:r>
            <w:r>
              <w:rPr>
                <w:rFonts w:ascii="Courier New" w:cs="Courier New" w:eastAsia="Courier New" w:hAnsi="Courier New"/>
                <w:b/>
                <w:bCs/>
                <w:color w:val="293B5F"/>
                <w:sz w:val="22"/>
                <w:szCs w:val="22"/>
              </w:rPr>
              <w:t xml:space="preserve">Freudenberg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Senha / Password:  </w:t>
            </w:r>
            <w:r>
              <w:rPr>
                <w:rFonts w:ascii="Courier New" w:cs="Courier New" w:eastAsia="Courier New" w:hAnsi="Courier New"/>
                <w:b/>
                <w:bCs/>
                <w:color w:val="293B5F"/>
                <w:sz w:val="22"/>
                <w:szCs w:val="22"/>
              </w:rPr>
              <w:t xml:space="preserve">123456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3200400" cy="2333625"/>
            <wp:effectExtent t="0" r="0" b="0" l="0"/>
            <wp:docPr id="1" name="image1.png" descr="Tela de login do cliente / Client login screen" title="Tela de login do cliente / Client 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Tela de login do cliente / Client login screen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Passo 2 / Step 2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Após o login, você chegará à tela principal. Role para baixo para assistir aos vídeos de demonstração (disponíveis em Inglês e Português).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After logging in, you will reach the main screen. Scroll down to watch the demo videos (available in English and Portuguese).</w:t>
      </w:r>
    </w:p>
    <w:p>
      <w:pPr>
        <w:spacing w:after="80" w:before="160"/>
        <w:jc w:val="center"/>
      </w:pPr>
      <w:r>
        <w:drawing>
          <wp:inline distT="0" distB="0" distL="0" distR="0">
            <wp:extent cx="4391025" cy="4210050"/>
            <wp:effectExtent t="0" r="0" b="0" l="0"/>
            <wp:docPr id="1" name="image2.png" descr="Página com vídeos de demonstração / Demo videos page" title="Página com vídeos de demonstração / Demo video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Página com vídeos de demonstração / Demo videos page</w:t>
      </w:r>
    </w:p>
    <w:p>
      <w:r>
        <w:br w:type="page"/>
      </w:r>
    </w:p>
    <w:p>
      <w:pPr>
        <w:pStyle w:val="Heading1"/>
      </w:pPr>
      <w:r>
        <w:t xml:space="preserve">2. Acesso à Plataforma / Platform Access</w:t>
      </w:r>
    </w:p>
    <w:p>
      <w:pPr>
        <w:pBdr>
          <w:bottom w:val="single" w:color="C5941A" w:sz="6" w:space="1"/>
        </w:pBdr>
        <w:spacing w:after="120" w:before="120"/>
      </w:pP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Passo 3 / Step 3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acessar a plataforma de teste, clique em “Login” no canto superior direito da tela.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 access the test platform, click “Login” in the upper right corner of the screen.</w:t>
      </w:r>
    </w:p>
    <w:p>
      <w:pPr>
        <w:spacing w:after="80" w:before="160"/>
        <w:jc w:val="center"/>
      </w:pPr>
      <w:r>
        <w:drawing>
          <wp:inline distT="0" distB="0" distL="0" distR="0">
            <wp:extent cx="5029200" cy="2124075"/>
            <wp:effectExtent t="0" r="0" b="0" l="0"/>
            <wp:docPr id="1" name="image3.png" descr="Botão de Login na plataforma / Platform Login button" title="Botão de Login na plataforma / Platform Logi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Botão de Login na plataforma / Platform Login button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Passo 4 / Step 4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Na tela de login, basta clicar no botão dourado “Login”. O acesso já está habilitado — não é necessário inserir senha ou password.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On the login screen, simply click the gold “Login” button. Access is already enabled — no password is required.</w:t>
      </w:r>
    </w:p>
    <w:p>
      <w:pPr>
        <w:spacing w:after="80" w:before="160"/>
        <w:jc w:val="center"/>
      </w:pPr>
      <w:r>
        <w:drawing>
          <wp:inline distT="0" distB="0" distL="0" distR="0">
            <wp:extent cx="4114800" cy="4705350"/>
            <wp:effectExtent t="0" r="0" b="0" l="0"/>
            <wp:docPr id="1" name="image4.png" descr="Tela de login da FX Experience / FX Experience login screen" title="Tela de login da FX Experience / FX Experience 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Tela de login da FX Experience / FX Experience login screen</w:t>
      </w:r>
    </w:p>
    <w:p>
      <w:r>
        <w:br w:type="page"/>
      </w:r>
    </w:p>
    <w:p>
      <w:pPr>
        <w:pStyle w:val="Heading1"/>
      </w:pPr>
      <w:r>
        <w:t xml:space="preserve">3. Funcionalidades / Platform Features</w:t>
      </w:r>
    </w:p>
    <w:p>
      <w:pPr>
        <w:pBdr>
          <w:bottom w:val="single" w:color="C5941A" w:sz="6" w:space="1"/>
        </w:pBdr>
        <w:spacing w:after="120" w:before="120"/>
      </w:pP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Passo 5 / Step 5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No header da plataforma você encontrará as opções de navegação e configurações principais.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 the platform header you will find navigation options and main settings.</w:t>
      </w:r>
    </w:p>
    <w:p>
      <w:pPr>
        <w:spacing w:after="80" w:before="160"/>
        <w:jc w:val="center"/>
      </w:pPr>
      <w:r>
        <w:drawing>
          <wp:inline distT="0" distB="0" distL="0" distR="0">
            <wp:extent cx="5391150" cy="276225"/>
            <wp:effectExtent t="0" r="0" b="0" l="0"/>
            <wp:docPr id="1" name="image5.png" descr="Barra do header / Header bar" title="Barra do header / Header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Barra do header / Header bar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Visão de Usuário / User View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Você pode alternar entre diferentes visões: Mentee, Gestor (Manager), Mentor e Administrador.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You can switch between different views: Mentee, Manager, Mentor, and Administrator.</w:t>
      </w:r>
    </w:p>
    <w:p>
      <w:pPr>
        <w:spacing w:after="80" w:before="160"/>
        <w:jc w:val="center"/>
      </w:pPr>
      <w:r>
        <w:drawing>
          <wp:inline distT="0" distB="0" distL="0" distR="0">
            <wp:extent cx="2743200" cy="2362200"/>
            <wp:effectExtent t="0" r="0" b="0" l="0"/>
            <wp:docPr id="1" name="image6.png" descr="Seletor de visão / Role switcher" title="Seletor de visão / Role swit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Seletor de visão / Role switcher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Temas do Ambiente / Environment Themes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Escolha entre diferentes temas visuais para personalizar sua experiência.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Choose between different visual themes to personalize your experience.</w:t>
      </w:r>
    </w:p>
    <w:p>
      <w:pPr>
        <w:spacing w:after="80" w:before="160"/>
        <w:jc w:val="center"/>
      </w:pPr>
      <w:r>
        <w:drawing>
          <wp:inline distT="0" distB="0" distL="0" distR="0">
            <wp:extent cx="1828800" cy="666750"/>
            <wp:effectExtent t="0" r="0" b="0" l="0"/>
            <wp:docPr id="1" name="image7.png" descr="Seletor de temas / Theme selector" title="Seletor de temas / Theme sel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Seletor de temas / Theme selector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3B5F"/>
          <w:sz w:val="24"/>
          <w:szCs w:val="24"/>
        </w:rPr>
        <w:t xml:space="preserve">Controles do Header / Header Controls</w:t>
      </w:r>
      <w:r>
        <w:br/>
        <w:t xml:space="preserve"/>
      </w:r>
      <w:r>
        <w:rPr>
          <w:rFonts w:ascii="Arial" w:cs="Arial" w:eastAsia="Arial" w:hAnsi="Arial"/>
          <w:color w:val="333333"/>
          <w:sz w:val="22"/>
          <w:szCs w:val="22"/>
        </w:rPr>
        <w:t xml:space="preserve">No canto superior direito: Suporte RH, Idioma (Português/Inglês/Alemão) e tema claro ou escuro.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 the upper right corner: HR Support, Language (Portuguese/English/German), and light or dark theme.</w:t>
      </w:r>
    </w:p>
    <w:p>
      <w:pPr>
        <w:spacing w:after="80" w:before="160"/>
        <w:jc w:val="center"/>
      </w:pPr>
      <w:r>
        <w:drawing>
          <wp:inline distT="0" distB="0" distL="0" distR="0">
            <wp:extent cx="4114800" cy="838200"/>
            <wp:effectExtent t="0" r="0" b="0" l="0"/>
            <wp:docPr id="1" name="image8.png" descr="Controles do header / Header controls" title="Controles do header / Header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Controles do header / Header controls</w:t>
      </w:r>
    </w:p>
    <w:p>
      <w:r>
        <w:br w:type="page"/>
      </w:r>
    </w:p>
    <w:p>
      <w:pPr>
        <w:pStyle w:val="Heading1"/>
      </w:pPr>
      <w:r>
        <w:t xml:space="preserve">4. Freudy IA / Freudy AI Assistant</w:t>
      </w:r>
    </w:p>
    <w:p>
      <w:pPr>
        <w:pBdr>
          <w:bottom w:val="single" w:color="C5941A" w:sz="6" w:space="1"/>
        </w:pBdr>
        <w:spacing w:after="120" w:before="120"/>
      </w:pPr>
    </w:p>
    <w:p>
      <w:pPr>
        <w:spacing w:after="160" w:before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conta com a Freudy IA, um assistente inteligente disponível na barra lateral ou como botão flutuante. Ela pode responder perguntas por texto ou vídeo.</w:t>
      </w:r>
      <w:r>
        <w:br/>
        <w:t xml:space="preserve"/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platform features Freudy AI, an intelligent assistant available in the sidebar or as a floating button. It can answer questions via text or video.</w:t>
      </w:r>
    </w:p>
    <w:p>
      <w:pPr>
        <w:pStyle w:val="Heading1"/>
      </w:pPr>
      <w:r>
        <w:t xml:space="preserve">5. Notas Importantes / Important Notes</w:t>
      </w:r>
    </w:p>
    <w:p>
      <w:pPr>
        <w:pBdr>
          <w:bottom w:val="single" w:color="C5941A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941A" w:sz="1"/>
              <w:left w:val="single" w:color="C5941A" w:sz="12"/>
              <w:bottom w:val="single" w:color="C5941A" w:sz="1"/>
              <w:right w:val="single" w:color="C5941A" w:sz="1"/>
            </w:tcBorders>
            <w:shd w:fill="FF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 01: Como é um protótipo, pode estar sujeito a erros de linguagem ou itens não funcionais. É de caráter demonstrativo.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Note 01: As this is a prototype, it may contain language errors or non-functional items. It is for demonstration purposes.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941A" w:sz="1"/>
              <w:left w:val="single" w:color="C5941A" w:sz="12"/>
              <w:bottom w:val="single" w:color="C5941A" w:sz="1"/>
              <w:right w:val="single" w:color="C5941A" w:sz="1"/>
            </w:tcBorders>
            <w:shd w:fill="FF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 02: Sobre a opção de ter um gestor de treinamentos e eventos, sim é possível ter integração e criação de ambientes para usar como ferramenta. É possível discutir com mais detalhes o que precisam para simularmos e ver se atendem o que pretendem.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Note 02: Regarding the option of having a training and events manager, it is possible to integrate and create environments to use as a tool. We can discuss in more detail what you need so we can simulate and see if it meets your expectations.</w:t>
            </w:r>
          </w:p>
        </w:tc>
      </w:tr>
    </w:tbl>
    <w:p>
      <w:pPr>
        <w:spacing w:before="300"/>
      </w:pPr>
    </w:p>
    <w:p>
      <w:pPr>
        <w:spacing w:after="8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tiver dúvida ou precisar de ajuda, me avise.</w:t>
      </w:r>
      <w:r>
        <w:br/>
        <w:t xml:space="preserve"/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If you have any questions or need help, please let me know.</w:t>
      </w:r>
    </w:p>
    <w:p>
      <w:pPr>
        <w:pBdr>
          <w:top w:val="single" w:color="C5941A" w:sz="4" w:space="8"/>
        </w:pBdr>
        <w:spacing w:after="60" w:before="4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Abraço / Best regards,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93B5F"/>
          <w:sz w:val="26"/>
          <w:szCs w:val="26"/>
        </w:rPr>
        <w:t xml:space="preserve">Marcelo Gomes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Consultor Executivo em Supply Chain, Logística, Comércio Exterior e Gestão da Qualidade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Executive Consultant in Supply Chain, Logistics, International Trade, and Quality Management</w:t>
      </w:r>
    </w:p>
    <w:p>
      <w:r>
        <w:drawing>
          <wp:inline distT="0" distB="0" distL="0" distR="0">
            <wp:extent cx="1143000" cy="304800"/>
            <wp:effectExtent t="0" r="0" b="0" l="0"/>
            <wp:docPr id="1" name="logo" descr="Follow Advisor Logo" title="Follow 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+55 19 98408 8833  |  </w:t>
      </w:r>
      <w:r>
        <w:rPr>
          <w:rFonts w:ascii="Arial" w:cs="Arial" w:eastAsia="Arial" w:hAnsi="Arial"/>
          <w:color w:val="C5941A"/>
          <w:sz w:val="18"/>
          <w:szCs w:val="18"/>
        </w:rPr>
        <w:t xml:space="preserve">marcelo.gomes@followadvisor.com</w:t>
      </w:r>
      <w:r>
        <w:br/>
        <w:t xml:space="preserve"/>
      </w:r>
      <w:r>
        <w:rPr>
          <w:rFonts w:ascii="Arial" w:cs="Arial" w:eastAsia="Arial" w:hAnsi="Arial"/>
          <w:color w:val="666666"/>
          <w:sz w:val="18"/>
          <w:szCs w:val="18"/>
        </w:rPr>
        <w:t xml:space="preserve">Vinhedo, Brasil  |  </w:t>
      </w:r>
      <w:hyperlink w:history="1" r:id="rId06tv44gtor4eigwq0q8g6">
        <w:r>
          <w:rPr>
            <w:rFonts w:ascii="Arial" w:cs="Arial" w:eastAsia="Arial" w:hAnsi="Arial"/>
            <w:color w:val="C5941A"/>
            <w:sz w:val="18"/>
            <w:szCs w:val="18"/>
            <w:u w:val="single"/>
          </w:rPr>
          <w:t xml:space="preserve">www.followadvisor.com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941A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Follow Advisor · DPX Digital · Confidencial / Confidential</w:t>
    </w:r>
    <w:r>
      <w:rPr>
        <w:rFonts w:ascii="Arial" w:cs="Arial" w:eastAsia="Arial" w:hAnsi="Arial"/>
        <w:color w:val="666666"/>
        <w:sz w:val="16"/>
        <w:szCs w:val="16"/>
      </w:rPr>
      <w:t xml:space="preserve">  |  Página /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941A" w:sz="4" w:space="4"/>
      </w:pBdr>
      <w:jc w:val="right"/>
    </w:pPr>
    <w:r>
      <w:drawing>
        <wp:inline distT="0" distB="0" distL="0" distR="0">
          <wp:extent cx="1143000" cy="304800"/>
          <wp:effectExtent t="0" r="0" b="0" l="0"/>
          <wp:docPr id="1" name="logo" descr="Follow Advisor Logo" title="Follow Advis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93B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93B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6tv44gtor4eigwq0q8g6" Type="http://schemas.openxmlformats.org/officeDocument/2006/relationships/hyperlink" Target="http://www.followadvisor.com/" TargetMode="External"/><Relationship Id="rId9" Type="http://schemas.openxmlformats.org/officeDocument/2006/relationships/image" Target="media/273fc89b1bf5b3916e1ecd37d70c931525a335d7.png"/><Relationship Id="rId10" Type="http://schemas.openxmlformats.org/officeDocument/2006/relationships/image" Target="media/b63f7fc28830e7722de77256f081164945e0a77b.png"/><Relationship Id="rId11" Type="http://schemas.openxmlformats.org/officeDocument/2006/relationships/image" Target="media/801e7292519fce5b80d5b7836375f234fa85b422.png"/><Relationship Id="rId12" Type="http://schemas.openxmlformats.org/officeDocument/2006/relationships/image" Target="media/221e47e6f6969975b6f1c67d5be6663ae3b24ee5.png"/><Relationship Id="rId13" Type="http://schemas.openxmlformats.org/officeDocument/2006/relationships/image" Target="media/c3d133471903b0f931bbd3aecaa31da119b72bd7.png"/><Relationship Id="rId14" Type="http://schemas.openxmlformats.org/officeDocument/2006/relationships/image" Target="media/e3f4971c4152c18579ec981281d3804633a4ea5e.png"/><Relationship Id="rId15" Type="http://schemas.openxmlformats.org/officeDocument/2006/relationships/image" Target="media/6a169f5e6912e0252068e554b24ae405c7d480c3.png"/><Relationship Id="rId16" Type="http://schemas.openxmlformats.org/officeDocument/2006/relationships/image" Target="media/d706902327135ddb8847677e50474d5d645cac8b.png"/><Relationship Id="rId17" Type="http://schemas.openxmlformats.org/officeDocument/2006/relationships/image" Target="media/d0261dadb27b6d894f6932deb6a1296935a307c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0261dadb27b6d894f6932deb6a1296935a307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2026-03-12T20:30:22.038Z</dcterms:created>
  <dcterms:modified xsi:type="dcterms:W3CDTF">2026-03-12T20:30:22.038Z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