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C1C34" w14:textId="77777777" w:rsidR="00837CCD" w:rsidRPr="00837CCD" w:rsidRDefault="00837CCD" w:rsidP="00837CCD">
      <w:r w:rsidRPr="00837CCD">
        <w:t>Padrões e Insights Observados nos Dados:</w:t>
      </w:r>
    </w:p>
    <w:p w14:paraId="0AC2F91F" w14:textId="77777777" w:rsidR="00837CCD" w:rsidRPr="00837CCD" w:rsidRDefault="00837CCD" w:rsidP="00837CCD"/>
    <w:p w14:paraId="74DBC1E5" w14:textId="4D27A778" w:rsidR="00837CCD" w:rsidRPr="00837CCD" w:rsidRDefault="00837CCD" w:rsidP="00837CCD">
      <w:r w:rsidRPr="00837CCD">
        <w:t>1. Dominância da Categoria "Eletrônicos" e Vendas Concentradas em Poucas Categorias</w:t>
      </w:r>
    </w:p>
    <w:p w14:paraId="7EDB448A" w14:textId="77777777" w:rsidR="00837CCD" w:rsidRPr="00837CCD" w:rsidRDefault="00837CCD" w:rsidP="00837CCD">
      <w:r w:rsidRPr="00837CCD">
        <w:t>O gráfico "Total de Vendas por Categoria" revela uma clara dominância da categoria "Eletrônicos", que representa a maior parte das vendas totais. As categorias "Áudio e Vídeo" e "Informática" também contribuem significativamente, mas em menor escala. Por outro lado, categorias como "Periféricos" e "Acessórios" mostram um volume de vendas muito baixo.</w:t>
      </w:r>
    </w:p>
    <w:p w14:paraId="3CE16841" w14:textId="77777777" w:rsidR="00837CCD" w:rsidRPr="00837CCD" w:rsidRDefault="00837CCD" w:rsidP="00837CCD"/>
    <w:p w14:paraId="2E6964D9" w14:textId="5D45DB21" w:rsidR="00837CCD" w:rsidRPr="00837CCD" w:rsidRDefault="00837CCD" w:rsidP="00837CCD">
      <w:r w:rsidRPr="00837CCD">
        <w:t>Insight:</w:t>
      </w:r>
      <w:r>
        <w:t xml:space="preserve"> </w:t>
      </w:r>
      <w:r w:rsidRPr="00837CCD">
        <w:t>Esta distribuição sugere que a empresa tem um foco ou uma demanda muito maior por produtos eletrônicos. Para aumentar as vendas gerais, a empresa poderia:</w:t>
      </w:r>
    </w:p>
    <w:p w14:paraId="1C4EAD81" w14:textId="0697B932" w:rsidR="00837CCD" w:rsidRPr="00837CCD" w:rsidRDefault="00837CCD" w:rsidP="00837CCD">
      <w:r w:rsidRPr="00837CCD">
        <w:t>Capitalizar a força dos Eletrônicos:</w:t>
      </w:r>
      <w:r>
        <w:t xml:space="preserve"> </w:t>
      </w:r>
      <w:r w:rsidRPr="00837CCD">
        <w:t>Investir mais em marketing e estoque para produtos eletrônicos, aproveitando a demanda existente.</w:t>
      </w:r>
    </w:p>
    <w:p w14:paraId="1162EB15" w14:textId="509807B7" w:rsidR="00837CCD" w:rsidRPr="00837CCD" w:rsidRDefault="00837CCD" w:rsidP="00837CCD">
      <w:r w:rsidRPr="00837CCD">
        <w:t>Avaliar categorias de baixo desempenho:</w:t>
      </w:r>
      <w:r>
        <w:t xml:space="preserve"> </w:t>
      </w:r>
      <w:r w:rsidRPr="00837CCD">
        <w:t>Investigar as razões para as baixas vendas em Periféricos e Acessórios. Pode ser que haja pouca demanda, preços inadequados, falta de variedade de produtos, ou problemas de marketing. Uma decisão pode ser otimizar o portfólio, talvez reduzindo o investimento nessas categorias ou reformulando a estratégia para elas.</w:t>
      </w:r>
    </w:p>
    <w:p w14:paraId="08D421F7" w14:textId="77777777" w:rsidR="00837CCD" w:rsidRDefault="00837CCD" w:rsidP="00837CCD"/>
    <w:p w14:paraId="4F7F7AF8" w14:textId="283B5FBA" w:rsidR="00837CCD" w:rsidRPr="00837CCD" w:rsidRDefault="00837CCD" w:rsidP="00837CCD">
      <w:r w:rsidRPr="00837CCD">
        <w:t>2. Sazonalidade e Picos de Vendas no Final do Ano</w:t>
      </w:r>
    </w:p>
    <w:p w14:paraId="689D54A8" w14:textId="77777777" w:rsidR="00837CCD" w:rsidRPr="00837CCD" w:rsidRDefault="00837CCD" w:rsidP="00837CCD"/>
    <w:p w14:paraId="76C5A5B1" w14:textId="77777777" w:rsidR="00837CCD" w:rsidRPr="00837CCD" w:rsidRDefault="00837CCD" w:rsidP="00837CCD">
      <w:r w:rsidRPr="00837CCD">
        <w:t xml:space="preserve">O gráfico "Tendência de Vendas Mensais (2023)" mostra uma flutuação nas vendas ao longo do ano, com um padrão sazonal notável. Observa-se um pico significativo de vendas em </w:t>
      </w:r>
      <w:proofErr w:type="gramStart"/>
      <w:r w:rsidRPr="00837CCD">
        <w:t>Outubro</w:t>
      </w:r>
      <w:proofErr w:type="gramEnd"/>
      <w:r w:rsidRPr="00837CCD">
        <w:t xml:space="preserve">, seguido por uma queda em </w:t>
      </w:r>
      <w:proofErr w:type="gramStart"/>
      <w:r w:rsidRPr="00837CCD">
        <w:t>Novembro</w:t>
      </w:r>
      <w:proofErr w:type="gramEnd"/>
      <w:r w:rsidRPr="00837CCD">
        <w:t xml:space="preserve"> e uma recuperação parcial em </w:t>
      </w:r>
      <w:proofErr w:type="gramStart"/>
      <w:r w:rsidRPr="00837CCD">
        <w:t>Dezembro</w:t>
      </w:r>
      <w:proofErr w:type="gramEnd"/>
      <w:r w:rsidRPr="00837CCD">
        <w:t xml:space="preserve">. Há também um aumento notável em </w:t>
      </w:r>
      <w:proofErr w:type="gramStart"/>
      <w:r w:rsidRPr="00837CCD">
        <w:t>Julho</w:t>
      </w:r>
      <w:proofErr w:type="gramEnd"/>
      <w:r w:rsidRPr="00837CCD">
        <w:t xml:space="preserve"> e </w:t>
      </w:r>
      <w:proofErr w:type="gramStart"/>
      <w:r w:rsidRPr="00837CCD">
        <w:t>Agosto</w:t>
      </w:r>
      <w:proofErr w:type="gramEnd"/>
      <w:r w:rsidRPr="00837CCD">
        <w:t>.</w:t>
      </w:r>
    </w:p>
    <w:p w14:paraId="17727063" w14:textId="77777777" w:rsidR="00837CCD" w:rsidRPr="00837CCD" w:rsidRDefault="00837CCD" w:rsidP="00837CCD"/>
    <w:p w14:paraId="1C4E4DD3" w14:textId="615E878C" w:rsidR="00837CCD" w:rsidRPr="00837CCD" w:rsidRDefault="00837CCD" w:rsidP="00837CCD">
      <w:r w:rsidRPr="00837CCD">
        <w:t>Insight: Este padrão sazonal é comum no varejo e pode estar relacionado a eventos como a Black Friday (</w:t>
      </w:r>
      <w:proofErr w:type="gramStart"/>
      <w:r w:rsidRPr="00837CCD">
        <w:t>Novembro</w:t>
      </w:r>
      <w:proofErr w:type="gramEnd"/>
      <w:r w:rsidRPr="00837CCD">
        <w:t>), Natal (</w:t>
      </w:r>
      <w:proofErr w:type="gramStart"/>
      <w:r w:rsidRPr="00837CCD">
        <w:t>Dezembro</w:t>
      </w:r>
      <w:proofErr w:type="gramEnd"/>
      <w:r w:rsidRPr="00837CCD">
        <w:t>) e, possivelmente, promoções de meio de ano ou volta às aulas (</w:t>
      </w:r>
      <w:proofErr w:type="gramStart"/>
      <w:r w:rsidRPr="00837CCD">
        <w:t>Julho</w:t>
      </w:r>
      <w:proofErr w:type="gramEnd"/>
      <w:r w:rsidRPr="00837CCD">
        <w:t>/</w:t>
      </w:r>
      <w:proofErr w:type="gramStart"/>
      <w:r w:rsidRPr="00837CCD">
        <w:t>Agosto</w:t>
      </w:r>
      <w:proofErr w:type="gramEnd"/>
      <w:r w:rsidRPr="00837CCD">
        <w:t>). A empresa pode usar esses dados para:</w:t>
      </w:r>
    </w:p>
    <w:p w14:paraId="030C528D" w14:textId="0B6AB880" w:rsidR="00837CCD" w:rsidRPr="00837CCD" w:rsidRDefault="00837CCD" w:rsidP="00837CCD">
      <w:r w:rsidRPr="00837CCD">
        <w:lastRenderedPageBreak/>
        <w:t xml:space="preserve">Planejamento de estoque e marketing: Antecipar os picos de demanda em </w:t>
      </w:r>
      <w:proofErr w:type="gramStart"/>
      <w:r w:rsidRPr="00837CCD">
        <w:t>Outubro</w:t>
      </w:r>
      <w:proofErr w:type="gramEnd"/>
      <w:r w:rsidRPr="00837CCD">
        <w:t xml:space="preserve">, </w:t>
      </w:r>
      <w:proofErr w:type="gramStart"/>
      <w:r w:rsidRPr="00837CCD">
        <w:t>Julho</w:t>
      </w:r>
      <w:proofErr w:type="gramEnd"/>
      <w:r w:rsidRPr="00837CCD">
        <w:t xml:space="preserve"> e </w:t>
      </w:r>
      <w:proofErr w:type="gramStart"/>
      <w:r w:rsidRPr="00837CCD">
        <w:t>Agosto</w:t>
      </w:r>
      <w:proofErr w:type="gramEnd"/>
      <w:r w:rsidRPr="00837CCD">
        <w:t xml:space="preserve"> para garantir estoque suficiente e planejar campanhas de marketing direcionadas a esses períodos. A queda em </w:t>
      </w:r>
      <w:proofErr w:type="gramStart"/>
      <w:r w:rsidRPr="00837CCD">
        <w:t>Novembro</w:t>
      </w:r>
      <w:proofErr w:type="gramEnd"/>
      <w:r w:rsidRPr="00837CCD">
        <w:t xml:space="preserve"> pode indicar que as vendas de </w:t>
      </w:r>
      <w:proofErr w:type="gramStart"/>
      <w:r w:rsidRPr="00837CCD">
        <w:t>Outubro</w:t>
      </w:r>
      <w:proofErr w:type="gramEnd"/>
      <w:r w:rsidRPr="00837CCD">
        <w:t xml:space="preserve"> anteciparam compras ou que a estratégia para a Black Friday precisa ser ajustada.</w:t>
      </w:r>
    </w:p>
    <w:p w14:paraId="0AC795DC" w14:textId="6F446F60" w:rsidR="00837CCD" w:rsidRPr="00837CCD" w:rsidRDefault="00837CCD" w:rsidP="00837CCD">
      <w:r w:rsidRPr="00837CCD">
        <w:t>Otimização de recursos: Alocar mais recursos (pessoal, logística) nos meses de alta demanda para maximizar as vendas e a satisfação do cliente.</w:t>
      </w:r>
    </w:p>
    <w:p w14:paraId="25CCD9F7" w14:textId="77777777" w:rsidR="00837CCD" w:rsidRPr="00837CCD" w:rsidRDefault="00837CCD" w:rsidP="00837CCD"/>
    <w:p w14:paraId="2FDD517E" w14:textId="4CB8F3FC" w:rsidR="00837CCD" w:rsidRPr="00837CCD" w:rsidRDefault="00837CCD" w:rsidP="00837CCD">
      <w:r w:rsidRPr="00837CCD">
        <w:t xml:space="preserve"> 3. Concentração de Produtos em Faixas de Preço Mais Baixas</w:t>
      </w:r>
    </w:p>
    <w:p w14:paraId="588C296F" w14:textId="77777777" w:rsidR="00837CCD" w:rsidRPr="00837CCD" w:rsidRDefault="00837CCD" w:rsidP="00837CCD">
      <w:r w:rsidRPr="00837CCD">
        <w:t>O gráfico "Distribuição de Preços dos Produtos" (histograma) indica que a maioria dos produtos vendidos se concentra em faixas de preço mais baixas, especialmente entre R$ 0 e R$ 200. Há uma frequência menor de produtos nas faixas intermediárias e um pequeno aumento na frequência de produtos com preços mais elevados (próximo a R$ 800).</w:t>
      </w:r>
    </w:p>
    <w:p w14:paraId="141E7F4A" w14:textId="77777777" w:rsidR="00837CCD" w:rsidRPr="00837CCD" w:rsidRDefault="00837CCD" w:rsidP="00837CCD"/>
    <w:p w14:paraId="7105E5F0" w14:textId="711E2B3B" w:rsidR="00837CCD" w:rsidRPr="00837CCD" w:rsidRDefault="00837CCD" w:rsidP="00837CCD">
      <w:r w:rsidRPr="00837CCD">
        <w:t>Insight: Isso sugere que a base de clientes pode ser mais sensível a preços ou que a estratégia de precificação da empresa favorece produtos de menor custo. A empresa pode considerar:</w:t>
      </w:r>
    </w:p>
    <w:p w14:paraId="0A5320E7" w14:textId="14A3828A" w:rsidR="00837CCD" w:rsidRPr="00837CCD" w:rsidRDefault="00837CCD" w:rsidP="00837CCD">
      <w:r w:rsidRPr="00837CCD">
        <w:t>Estratégias de volume:</w:t>
      </w:r>
      <w:r>
        <w:t xml:space="preserve"> </w:t>
      </w:r>
      <w:r w:rsidRPr="00837CCD">
        <w:t>Focar em vender um grande volume de produtos de baixo custo, que parecem ter maior aceitação.</w:t>
      </w:r>
    </w:p>
    <w:p w14:paraId="3221E302" w14:textId="3402CDD2" w:rsidR="00837CCD" w:rsidRPr="00837CCD" w:rsidRDefault="00837CCD" w:rsidP="00837CCD">
      <w:r w:rsidRPr="00837CCD">
        <w:t>Oportunidades em faixas de preço intermediárias: Investigar se há uma demanda não atendida ou uma oportunidade de introduzir produtos competitivos nas faixas de preço de R$ 200 a R$ 500, onde a oferta atual parece ser menor.</w:t>
      </w:r>
    </w:p>
    <w:p w14:paraId="590E9A31" w14:textId="5CD2E9A3" w:rsidR="00837CCD" w:rsidRPr="00837CCD" w:rsidRDefault="00837CCD" w:rsidP="00837CCD">
      <w:r w:rsidRPr="00837CCD">
        <w:t>Segmentação de mercado:</w:t>
      </w:r>
      <w:r>
        <w:t xml:space="preserve"> </w:t>
      </w:r>
      <w:r w:rsidRPr="00837CCD">
        <w:t>Se os produtos de alto custo (R$ 700-800) representam um nicho, a empresa pode desenvolver estratégias de marketing específicas para esse segmento, focando no valor e na qualidade, em vez de apenas no preço.</w:t>
      </w:r>
    </w:p>
    <w:p w14:paraId="7A6C1E07" w14:textId="77777777" w:rsidR="00837CCD" w:rsidRPr="00837CCD" w:rsidRDefault="00837CCD" w:rsidP="00837CCD"/>
    <w:sectPr w:rsidR="00837CCD" w:rsidRPr="00837C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932F9"/>
    <w:multiLevelType w:val="multilevel"/>
    <w:tmpl w:val="6BF6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51233"/>
    <w:multiLevelType w:val="multilevel"/>
    <w:tmpl w:val="C7F8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497542">
    <w:abstractNumId w:val="0"/>
  </w:num>
  <w:num w:numId="2" w16cid:durableId="982659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CD"/>
    <w:rsid w:val="00837CCD"/>
    <w:rsid w:val="00F6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214C6"/>
  <w15:chartTrackingRefBased/>
  <w15:docId w15:val="{CC785066-534E-4EC9-81BF-5CBE9754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7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7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7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7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7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7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7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7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7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7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7C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7C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7C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7C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7C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7C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7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7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7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7C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7C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7C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7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7C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7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ED3985F35E74EB0ACDB6B258F4C1E" ma:contentTypeVersion="4" ma:contentTypeDescription="Create a new document." ma:contentTypeScope="" ma:versionID="72aa54cb193899e91aaf996937f938c0">
  <xsd:schema xmlns:xsd="http://www.w3.org/2001/XMLSchema" xmlns:xs="http://www.w3.org/2001/XMLSchema" xmlns:p="http://schemas.microsoft.com/office/2006/metadata/properties" xmlns:ns3="51ff3a9e-142b-4f83-b296-78f808de7dc1" targetNamespace="http://schemas.microsoft.com/office/2006/metadata/properties" ma:root="true" ma:fieldsID="09a7102004afabcbbcc6e542bd8ab0c0" ns3:_="">
    <xsd:import namespace="51ff3a9e-142b-4f83-b296-78f808de7dc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ff3a9e-142b-4f83-b296-78f808de7dc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994A09-AB28-4AA2-8CF5-B3098D7DC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ff3a9e-142b-4f83-b296-78f808de7d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D77DFC-9C5F-40AF-9538-4C6E74C767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413312-FCCD-42BB-A11C-426E7580F072}">
  <ds:schemaRefs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51ff3a9e-142b-4f83-b296-78f808de7dc1"/>
    <ds:schemaRef ds:uri="http://www.w3.org/XML/1998/namespace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527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GONORING HEHR</dc:creator>
  <cp:keywords/>
  <dc:description/>
  <cp:lastModifiedBy>MARCELO GONORING HEHR</cp:lastModifiedBy>
  <cp:revision>2</cp:revision>
  <dcterms:created xsi:type="dcterms:W3CDTF">2025-10-13T18:31:00Z</dcterms:created>
  <dcterms:modified xsi:type="dcterms:W3CDTF">2025-10-13T18:31:00Z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0x01010088BED3985F35E74EB0ACDB6B258F4C1E</vt:lpwstr>
  </property>
</Properties>
</file>