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 – Introdução</w:t>
      </w:r>
    </w:p>
    <w:p>
      <w:pPr>
        <w:pStyle w:val="Heading2"/>
      </w:pPr>
      <w:r>
        <w:t>1.6 Metodologia</w:t>
      </w:r>
    </w:p>
    <w:p>
      <w:r>
        <w:t>A pesquisa desenvolvida neste trabalho possui natureza aplicada, uma vez que busca propor, implementar e validar uma arquitetura de Predistorção Digital destinada à utilização em FPGAs de recursos limitados. Quanto aos objetivos, caracteriza-se como uma pesquisa de caráter exploratório e descritivo, fundamentada em revisão bibliográfica e desenvolvimento experimental.</w:t>
      </w:r>
    </w:p>
    <w:p>
      <w:r>
        <w:t>A primeira etapa consistiu na revisão da literatura sobre amplificadores de potência, técnicas de linearização e modelos de Predistorção Digital. Foram analisadas diferentes abordagens, incluindo modelos polinomiais, Memory Polynomial, Generalized Memory Polynomial e outras arquiteturas amplamente utilizadas, identificando suas vantagens, limitações e requisitos computacionais.</w:t>
      </w:r>
    </w:p>
    <w:p>
      <w:r>
        <w:t>Na etapa seguinte foi definida a arquitetura DPDnano-Lite. O projeto arquitetural contemplou a escolha do modelo matemático, a organização modular, a representação em ponto fixo, a definição do pipeline de processamento e a especificação das interfaces entre os módulos, sempre considerando as limitações de recursos da FPGA Tang Nano 4K.</w:t>
      </w:r>
    </w:p>
    <w:p>
      <w:r>
        <w:t>Após a definição da arquitetura, realizou-se a implementação dos módulos em linguagem Verilog. Cada bloco funcional foi desenvolvido de forma independente, permitindo validação incremental e facilitando a integração do sistema completo. Essa estratégia reduziu a complexidade do processo de desenvolvimento e tornou a arquitetura mais facilmente reutilizável.</w:t>
      </w:r>
    </w:p>
    <w:p>
      <w:r>
        <w:t>Em seguida foram elaborados testbenches autoconsistentes para verificar o funcionamento individual dos módulos e posteriormente do sistema integrado. As simulações foram executadas no ambiente ModelSim, permitindo validar a funcionalidade da arquitetura, identificar inconsistências durante o desenvolvimento e confirmar o atendimento aos requisitos definidos para o projeto.</w:t>
      </w:r>
    </w:p>
    <w:p>
      <w:r>
        <w:t>Por fim, os resultados obtidos durante as simulações foram analisados qualitativamente, verificando a consistência funcional da arquitetura proposta e sua adequação para implementação em FPGA de baixo custo. A metodologia adotada fornece uma base organizada para futuras extensões, incluindo adaptação automática de coeficientes, expansão da ordem polinomial e implementação em dispositivos de maior capacidade.</w:t>
      </w:r>
    </w:p>
    <w:p>
      <w:r>
        <w:t>A Tabela 1.1 sintetiza as etapas metodológicas do trabalho, relacionando objetivo, método predominante e produto esperado em cada fase da pesquisa.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jc w:val="center"/>
      </w:pPr>
      <w:r>
        <w:drawing>
          <wp:inline distT="0" distB="0" distL="0" distR="0">
            <wp:extent cx="6100000" cy="2727000"/>
            <wp:effectExtent l="0" t="0" r="0" b="0"/>
            <wp:docPr id="1" name="tabela_1_1_metodologia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1_1_metodolog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0000" cy="27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Tabela 1.1 – Síntese das etapas metodológicas adotadas no desenvolvimento do trabalho.</w:t>
      </w:r>
    </w:p>
    <w:p>
      <w:r>
        <w:t>A Figura 1.3 resume o fluxo metodológico empregado, desde a revisão bibliográfica até a análise dos resultados de simulação e verificação funcional.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jc w:val="center"/>
      </w:pPr>
      <w:r>
        <w:drawing>
          <wp:inline distT="0" distB="0" distL="0" distR="0">
            <wp:extent cx="5800000" cy="3262500"/>
            <wp:effectExtent l="0" t="0" r="0" b="0"/>
            <wp:docPr id="2" name="figura_1_3_fluxo_metodologico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3_fluxo_metodolog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1.3 – Fluxo metodológico do desenvolvimento e validação da arquitetura DPDnano-Lite.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tyles" Target="styles.xml" />
  <Relationship Id="rId4" Type="http://schemas.microsoft.com/office/2007/relationships/stylesWithEffects" Target="stylesWithEffects.xml" />
  <Relationship Id="rId5" Type="http://schemas.openxmlformats.org/officeDocument/2006/relationships/settings" Target="settings.xml" />
  <Relationship Id="rId6" Type="http://schemas.openxmlformats.org/officeDocument/2006/relationships/webSettings" Target="webSettings.xml" />
  <Relationship Id="rId7" Type="http://schemas.openxmlformats.org/officeDocument/2006/relationships/fontTable" Target="fontTable.xml" />
  <Relationship Id="rId8" Type="http://schemas.openxmlformats.org/officeDocument/2006/relationships/theme" Target="theme/theme1.xml" />
  <Relationship Id="rId1" Type="http://schemas.openxmlformats.org/officeDocument/2006/relationships/customXml" Target="../customXml/item1.xml" />
  <Relationship Id="rId2" Type="http://schemas.openxmlformats.org/officeDocument/2006/relationships/numbering" Target="numbering.xml" />
  <Relationship Id="rId9" Type="http://schemas.openxmlformats.org/officeDocument/2006/relationships/image" Target="media/tabela_1_1_metodologia.png" />
  <Relationship Id="rId10" Type="http://schemas.openxmlformats.org/officeDocument/2006/relationships/image" Target="media/figura_1_3_fluxo_metodologico.png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