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4 – Arquitetura DPDnano-Lite</w:t>
      </w:r>
    </w:p>
    <w:p>
      <w:pPr>
        <w:pStyle w:val="Heading2"/>
      </w:pPr>
      <w:r>
        <w:t>4.3 Representação Numérica e Formato de Ponto Fixo</w:t>
      </w:r>
    </w:p>
    <w:p>
      <w:r>
        <w:t>Um dos aspectos mais importantes no desenvolvimento de arquiteturas digitais para FPGA é a definição da representação numérica utilizada durante o processamento. A escolha adequada do formato influencia diretamente a precisão dos cálculos, a utilização de recursos de hardware, a frequência máxima de operação e a estabilidade numérica do sistema.</w:t>
      </w:r>
    </w:p>
    <w:p>
      <w:r>
        <w:t>Na arquitetura DPDnano-Lite foi adotada a representação em ponto fixo (fixed-point), em substituição ao ponto flutuante. Essa decisão reduz significativamente o consumo de blocos DSP, memória e elementos lógicos, além de simplificar a síntese e facilitar o fechamento de temporização na FPGA Tang Nano 4K.</w:t>
      </w:r>
    </w:p>
    <w:p>
      <w:r>
        <w:t>Os sinais de entrada e saída utilizam representação Q1.15, composta por 16 bits, sendo um bit de sinal, um bit para a parte inteira e quinze bits destinados à parte fracionária. Esse formato oferece resolução suficiente para representar as amostras complexas I/Q empregadas durante a operação do predistorcedor.</w:t>
      </w:r>
    </w:p>
    <w:p>
      <w:r>
        <w:t>À medida que o processamento avança, as larguras de palavra são ampliadas para preservar a precisão dos resultados intermediários. As multiplicações produzem palavras com maior número de bits, evitando perda de informação antes das etapas de arredondamento e saturação.</w:t>
      </w:r>
    </w:p>
    <w:p>
      <w:r>
        <w:t>Na implementação congelada do DPDnano-Lite, os principais formatos internos podem ser resumidos da seguinte forma:</w:t>
      </w:r>
    </w:p>
    <w:p>
      <w:r>
        <w:t>• Entrada e saída I/Q: Q1.15 (16 bits);</w:t>
        <w:br/>
        <w:t>• Coeficientes complexos: Q1.15 (16 bits);</w:t>
        <w:br/>
        <w:t>• Magnitude ao quadrado |x|²: Q3.30;</w:t>
        <w:br/>
        <w:t>• Termos polinomiais intermediários: precisão expandida em ponto fixo;</w:t>
        <w:br/>
        <w:t>• Acumulador: largura estendida para evitar overflow durante a soma dos ramos polinomiais.</w:t>
      </w:r>
    </w:p>
    <w:p>
      <w:r>
        <w:t>Essa estratégia permite manter elevada precisão ao longo de toda a cadeia de processamento, realizando a redução de largura apenas na etapa final do algoritmo.</w:t>
      </w:r>
    </w:p>
    <w:p>
      <w:r>
        <w:t>A Figura 4.3 (a ser inserida) deverá ilustrar a evolução da largura de palavra entre os diferentes módulos da arquitetura, evidenciando a expansão durante as multiplicações e a redução controlada nas etapas de arredondamento e saturação.</w:t>
      </w:r>
    </w:p>
    <w:p>
      <w:r>
        <w:t>O módulo rounding realiza simultaneamente o ajuste de escala e o arredondamento do resultado acumulado para o formato de saída. Em seguida, o módulo saturator limita o valor ao intervalo representável pelo formato Q1.15, impedindo a ocorrência de overflow e preservando a estabilidade numérica da arquitetura.</w:t>
      </w:r>
    </w:p>
    <w:p>
      <w:r>
        <w:t>A separação entre arredondamento e saturação simplifica o projeto RTL, facilita a validação funcional dos módulos e permite reutilização em futuras versões da arquitetura. Além disso, reduz o acoplamento entre blocos, favorecendo a modularidade e a manutenção do código.</w:t>
      </w:r>
    </w:p>
    <w:p>
      <w:r>
        <w:t>A adoção da representação em ponto fixo mostrou-se adequada ao objetivo do DPDnano-Lite, permitindo elevada eficiência computacional com reduzido consumo de recursos da FPGA, sem comprometer a precisão necessária para a compensação das não linearidades do amplificador de potência.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