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5 – Implementação RTL em Verilog-2001</w:t>
      </w:r>
    </w:p>
    <w:p>
      <w:pPr>
        <w:pStyle w:val="Heading2"/>
      </w:pPr>
      <w:r>
        <w:t>5.10 Módulo coeff_bank</w:t>
      </w:r>
    </w:p>
    <w:p>
      <w:r>
        <w:t>O módulo coeff_bank implementa um banco estático de coeficientes complexos definido a partir das macros declaradas em coeff_pkg.vh. Sua função é disponibilizar, de forma centralizada, valores constantes de coeficientes para possíveis integrações arquiteturais baseadas em armazenamento interno, servindo como bloco auxiliar de suporte à organização da RTL.</w:t>
      </w:r>
    </w:p>
    <w:p>
      <w:r>
        <w:t>Do ponto de vista matemático, os coeficientes representam os parâmetros do modelo obtidos durante o processo de identificação do amplificador de potência. Uma vez determinados, esses valores definem a contribuição de cada termo polinomial para a resposta final do predistorcedor.</w:t>
      </w:r>
    </w:p>
    <w:p>
      <w:r>
        <w:t>Na versão congelada do DPDnano-Lite optou-se pela utilização de coeficientes estáticos. Contudo, na arquitetura efetivamente validada, os coeficientes utilizados pelo módulo dpd_core são fornecidos por portas de entrada do topo, e não pelo módulo coeff_bank. Assim, o coeff_bank permanece como um bloco auxiliar disponível na base RTL, mas não integrado ao caminho principal de processamento da versão congelada utilizada nos testes.</w:t>
      </w:r>
    </w:p>
    <w:p>
      <w:r>
        <w:t>Foram avaliadas três alternativas para armazenamento dos coeficientes: constantes distribuídas no código, memória ROM e memória RAM com atualização em tempo de execução. A primeira alternativa apresenta baixa flexibilidade e dificulta a manutenção. A terceira exige lógica adicional de controle, interface de comunicação e mecanismos de sincronização para atualização segura dos coeficientes.</w:t>
      </w:r>
    </w:p>
    <w:p>
      <w:r>
        <w:t>A solução implementada no arquivo coeff_bank.v utiliza um banco de coeficientes constantes organizado de forma centralizada, com saídas separadas para as componentes real e imaginária de três taps predefinidos. Essa abordagem simplifica experimentos estruturais e documenta uma alternativa de encapsulamento dos coeficientes, ainda que não corresponda ao mecanismo de alimentação adotado no topo congelado.</w:t>
      </w:r>
    </w:p>
    <w:p>
      <w:r>
        <w:t>Todos os coeficientes são representados em formato complexo de ponto fixo, utilizando o mesmo padrão numérico definido em config.vh. Essa padronização elimina conversões adicionais entre módulos e mantém coerência ao longo de todo o datapath.</w:t>
      </w:r>
    </w:p>
    <w:p>
      <w:r>
        <w:t>A interface RTL do módulo foi mantida simples. O coeff_bank fornece diretamente, por sinais dedicados, as componentes real e imaginária dos coeficientes estáticos definidos no pacote auxiliar. Como não existe mecanismo de endereçamento nem sincronização temporal interna, o bloco atua como fonte combinacional de constantes e não como estágio pipelineado do datapath.</w:t>
      </w:r>
    </w:p>
    <w:p>
      <w:r>
        <w:t>A Figura 5.9 (a ser inserida) deverá ilustrar a organização interna do banco de coeficientes, destacando sua natureza auxiliar, a dependência das definições de coeff_pkg.vh e a distinção entre esse bloco opcional e o mecanismo efetivamente utilizado pelo dpd_core congelado, no qual os coeficientes entram por portas externas.</w:t>
      </w:r>
    </w:p>
    <w:p>
      <w:r>
        <w:t>Outra decisão importante foi desacoplar completamente o armazenamento dos coeficientes da lógica matemática do algoritmo. Dessa forma, diferentes conjuntos de coeficientes podem ser utilizados sem necessidade de alterar os módulos responsáveis pelo processamento polinomial.</w:t>
      </w:r>
    </w:p>
    <w:p>
      <w:r>
        <w:t>Durante a análise estrutural, o módulo foi verificado quanto à coerência entre as macros definidas em coeff_pkg.vh e as saídas disponibilizadas em coeff_bank.v, bem como quanto à compatibilidade de largura de palavra com o restante da arquitetura. Como o bloco não participa do topo congelado validado pelos testes TMQ, sua documentação deve ser interpretada como complementar, e não como parte do fluxo principal efetivamente exercitado.</w:t>
      </w:r>
    </w:p>
    <w:p>
      <w:r>
        <w:t>Embora a versão atual utilize coeficientes fixos, uma evolução futura pode substituir tanto a alimentação externa direta do dpd_core quanto o banco estático por mecanismos adaptativos de atualização. Nesse contexto, o coeff_bank pode ser entendido como uma referência de organização modular, mas não como a solução final adotada na arquitetura congelada deste trabalho.</w:t>
      </w:r>
    </w:p>
    <w:p>
      <w:r>
        <w:t>Em síntese, o módulo coeff_bank representa um recurso auxiliar de organização para coeficientes estáticos dentro da base RTL do DPDnano-Lite. Com rigor arquitetural, deve-se registrar que ele não integra o datapath principal da versão congelada validada experimentalmente, na qual os coeficientes do modelo entram diretamente pelas portas do módulo dpd_core.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Decisão de projeto</w:t>
            </w:r>
          </w:p>
        </w:tc>
        <w:tc>
          <w:tcPr>
            <w:tcW w:type="dxa" w:w="4320"/>
          </w:tcPr>
          <w:p>
            <w:r>
              <w:t>Justificativa</w:t>
            </w:r>
          </w:p>
        </w:tc>
      </w:tr>
      <w:tr>
        <w:tc>
          <w:tcPr>
            <w:tcW w:type="dxa" w:w="4320"/>
          </w:tcPr>
          <w:p>
            <w:r>
              <w:t>Coeficientes estáticos</w:t>
            </w:r>
          </w:p>
        </w:tc>
        <w:tc>
          <w:tcPr>
            <w:tcW w:type="dxa" w:w="4320"/>
          </w:tcPr>
          <w:p>
            <w:r>
              <w:t>Redução da complexidade da arquitetura</w:t>
            </w:r>
          </w:p>
        </w:tc>
      </w:tr>
      <w:tr>
        <w:tc>
          <w:tcPr>
            <w:tcW w:type="dxa" w:w="4320"/>
          </w:tcPr>
          <w:p>
            <w:r>
              <w:t>Formato complexo Q1.15</w:t>
            </w:r>
          </w:p>
        </w:tc>
        <w:tc>
          <w:tcPr>
            <w:tcW w:type="dxa" w:w="4320"/>
          </w:tcPr>
          <w:p>
            <w:r>
              <w:t>Padronização numérica</w:t>
            </w:r>
          </w:p>
        </w:tc>
      </w:tr>
      <w:tr>
        <w:tc>
          <w:tcPr>
            <w:tcW w:type="dxa" w:w="4320"/>
          </w:tcPr>
          <w:p>
            <w:r>
              <w:t>Banco centralizado</w:t>
            </w:r>
          </w:p>
        </w:tc>
        <w:tc>
          <w:tcPr>
            <w:tcW w:type="dxa" w:w="4320"/>
          </w:tcPr>
          <w:p>
            <w:r>
              <w:t>Facilidade de manutenção</w:t>
            </w:r>
          </w:p>
        </w:tc>
      </w:tr>
      <w:tr>
        <w:tc>
          <w:tcPr>
            <w:tcW w:type="dxa" w:w="4320"/>
          </w:tcPr>
          <w:p>
            <w:r>
              <w:t>Interface preparada para expansão</w:t>
            </w:r>
          </w:p>
        </w:tc>
        <w:tc>
          <w:tcPr>
            <w:tcW w:type="dxa" w:w="4320"/>
          </w:tcPr>
          <w:p>
            <w:r>
              <w:t>Suporte futuro à adaptação dinâmica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