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5.11 Módulo rounding</w:t>
      </w:r>
    </w:p>
    <w:p>
      <w:r>
        <w:t>O módulo rounding é responsável pela conversão controlada da precisão numérica entre os estágios internos de processamento e a interface de saída da arquitetura DPDnano-Lite. Embora essa operação seja frequentemente tratada como um detalhe de implementação, ela exerce influência direta sobre a qualidade do sinal predistorcido, pois define como os bits excedentes produzidos pelas operações aritméticas serão tratados antes da redução da largura dos barramentos.</w:t>
      </w:r>
    </w:p>
    <w:p>
      <w:r>
        <w:t>Durante o processamento do modelo Memory Polynomial, sucessivas multiplicações e acumulações provocam crescimento da largura das palavras internas. Essa expansão é intencional e preserva a precisão numérica ao longo do datapath. Entretanto, ao final do processamento torna-se necessário converter os resultados para o formato de saída especificado pela arquitetura.</w:t>
      </w:r>
    </w:p>
    <w:p>
      <w:r>
        <w:t>Uma alternativa simples seria eliminar diretamente os bits menos significativos por truncamento. Embora reduza a complexidade lógica, o truncamento introduz um erro sistemático negativo, deslocando estatisticamente os resultados e aumentando o ruído de quantização. Em aplicações de processamento digital de sinais, esse viés pode degradar métricas como EVM e ACPR.</w:t>
      </w:r>
    </w:p>
    <w:p>
      <w:r>
        <w:t>Como decisão de engenharia, optou-se pela utilização de arredondamento antes da redução de largura. O princípio consiste em adicionar meia unidade do bit menos significativo que será preservado e somente então descartar os bits excedentes. Esse procedimento reduz o erro médio de quantização e produz resultados mais próximos daqueles obtidos em alta precisão.</w:t>
      </w:r>
    </w:p>
    <w:p>
      <w:r>
        <w:t>Na arquitetura DPDnano-Lite, o arredondamento foi implementado como um módulo independente. Essa separação evita que a lógica de conversão de escala fique misturada às operações matemáticas principais, melhora a reutilização do código e facilita a validação funcional.</w:t>
      </w:r>
    </w:p>
    <w:p>
      <w:r>
        <w:t>Outro aspecto importante foi manter o módulo rounding exclusivamente responsável pela conversão de precisão. Nenhuma operação de saturação é realizada nessa etapa. Essa decisão permite que o tratamento de overflow permaneça concentrado no módulo saturator, preservando o princípio de responsabilidade única adotado em toda a arquitetura.</w:t>
      </w:r>
    </w:p>
    <w:p>
      <w:r>
        <w:t>A Figura 5.10 (a ser inserida) deverá ilustrar o processo de arredondamento, mostrando a palavra interna expandida, o bit utilizado para decisão de arredondamento e o resultado convertido para a largura final.</w:t>
      </w:r>
    </w:p>
    <w:p>
      <w:r>
        <w:t>Durante a verificação funcional foram avaliados valores localizados exatamente nos limites entre dois níveis de quantização, além de entradas positivas, negativas e próximas da saturação. Os resultados demonstraram que o arredondamento reduz significativamente o erro médio quando comparado ao simples truncamento.</w:t>
      </w:r>
    </w:p>
    <w:p>
      <w:r>
        <w:t>Além da melhoria da precisão, a existência de um módulo dedicado simplifica futuras alterações na política de quantização. Métodos alternativos, como arredondamento convergente ou estocástico, poderão ser incorporados sem modificar os módulos responsáveis pelo processamento matemático.</w:t>
      </w:r>
    </w:p>
    <w:p>
      <w:r>
        <w:t>Em síntese, o módulo rounding representa um elemento essencial da estratégia numérica do DPDnano-Lite. Sua implementação preserva a fidelidade dos resultados produzidos pelo algoritmo Memory Polynomial e reduz os efeitos da quantização durante a conversão para o formato de saída.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Decisão de projeto</w:t>
            </w:r>
          </w:p>
        </w:tc>
        <w:tc>
          <w:tcPr>
            <w:tcW w:type="dxa" w:w="4320"/>
          </w:tcPr>
          <w:p>
            <w:r>
              <w:t>Justificativa</w:t>
            </w:r>
          </w:p>
        </w:tc>
      </w:tr>
      <w:tr>
        <w:tc>
          <w:tcPr>
            <w:tcW w:type="dxa" w:w="4320"/>
          </w:tcPr>
          <w:p>
            <w:r>
              <w:t>Arredondamento em vez de truncamento</w:t>
            </w:r>
          </w:p>
        </w:tc>
        <w:tc>
          <w:tcPr>
            <w:tcW w:type="dxa" w:w="4320"/>
          </w:tcPr>
          <w:p>
            <w:r>
              <w:t>Redução do erro médio de quantização</w:t>
            </w:r>
          </w:p>
        </w:tc>
      </w:tr>
      <w:tr>
        <w:tc>
          <w:tcPr>
            <w:tcW w:type="dxa" w:w="4320"/>
          </w:tcPr>
          <w:p>
            <w:r>
              <w:t>Módulo independente</w:t>
            </w:r>
          </w:p>
        </w:tc>
        <w:tc>
          <w:tcPr>
            <w:tcW w:type="dxa" w:w="4320"/>
          </w:tcPr>
          <w:p>
            <w:r>
              <w:t>Separação entre processamento e conversão de precisão</w:t>
            </w:r>
          </w:p>
        </w:tc>
      </w:tr>
      <w:tr>
        <w:tc>
          <w:tcPr>
            <w:tcW w:type="dxa" w:w="4320"/>
          </w:tcPr>
          <w:p>
            <w:r>
              <w:t>Sem saturação</w:t>
            </w:r>
          </w:p>
        </w:tc>
        <w:tc>
          <w:tcPr>
            <w:tcW w:type="dxa" w:w="4320"/>
          </w:tcPr>
          <w:p>
            <w:r>
              <w:t>Responsabilidade exclusiva do módulo saturator</w:t>
            </w:r>
          </w:p>
        </w:tc>
      </w:tr>
      <w:tr>
        <w:tc>
          <w:tcPr>
            <w:tcW w:type="dxa" w:w="4320"/>
          </w:tcPr>
          <w:p>
            <w:r>
              <w:t>Estrutura parametrizada</w:t>
            </w:r>
          </w:p>
        </w:tc>
        <w:tc>
          <w:tcPr>
            <w:tcW w:type="dxa" w:w="4320"/>
          </w:tcPr>
          <w:p>
            <w:r>
              <w:t>Facilidade para futuras políticas de quantização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