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5.12 Módulo saturator</w:t>
      </w:r>
    </w:p>
    <w:p>
      <w:r>
        <w:t>O módulo saturator constitui a etapa final do processamento numérico da arquitetura DPDnano-Lite. Sua função é garantir que os resultados produzidos pelo datapath permaneçam dentro da faixa dinâmica suportada pela interface de saída, evitando que valores excedentes provoquem comportamento incorreto após a conversão para a largura final dos barramentos.</w:t>
      </w:r>
    </w:p>
    <w:p>
      <w:r>
        <w:t>Durante o processamento em ponto fixo, multiplicações, acumulações e operações de arredondamento podem produzir resultados superiores ao intervalo representável. Caso esses valores sejam simplesmente truncados, ocorre o fenômeno conhecido como wrap-around, no qual um valor positivo pode ser interpretado como negativo, ou vice-versa, introduzindo distorções severas no sinal predistorcido.</w:t>
      </w:r>
    </w:p>
    <w:p>
      <w:r>
        <w:t>Matematicamente, a saturação limita o resultado ao intervalo definido pelo formato numérico adotado. Para um número em complemento de dois com largura W, os limites são dados por MAX=2^(W-1)-1 e MIN=-2^(W-1). Sempre que o resultado excede esses limites, o módulo substitui automaticamente o valor calculado pelo limite correspondente.</w:t>
      </w:r>
    </w:p>
    <w:p>
      <w:r>
        <w:t>Durante o desenvolvimento da arquitetura foram avaliadas duas abordagens principais. A primeira consistia em permitir o wrap-around natural da aritmética em complemento de dois. Embora essa solução não acrescente lógica adicional, ela produz grandes erros quando ocorre overflow, degradando significativamente a qualidade do sinal.</w:t>
      </w:r>
    </w:p>
    <w:p>
      <w:r>
        <w:t>A segunda alternativa, adotada na arquitetura congelada, consiste na saturação explícita dos resultados. Essa estratégia preserva a estabilidade do processamento e evita que pequenos excessos de amplitude produzam inversões abruptas no sinal de saída.</w:t>
      </w:r>
    </w:p>
    <w:p>
      <w:r>
        <w:t>Outra decisão importante foi separar completamente as funções de arredondamento e saturação. O módulo rounding executa exclusivamente a conversão de precisão, enquanto o saturator realiza apenas a limitação da amplitude. Essa divisão reduz o acoplamento entre os blocos, facilita a verificação funcional e melhora a reutilização dos módulos em futuras versões da arquitetura.</w:t>
      </w:r>
    </w:p>
    <w:p>
      <w:r>
        <w:t>A implementação RTL realiza comparações entre o valor recebido e os limites máximo e mínimo previamente definidos. Caso nenhuma condição de overflow seja detectada, o resultado é simplesmente encaminhado à saída. Quando ocorre extrapolação da faixa dinâmica, o valor correspondente ao limite é registrado como saída do módulo.</w:t>
      </w:r>
    </w:p>
    <w:p>
      <w:r>
        <w:t>A Figura 5.11 (a ser inserida) deverá ilustrar o fluxo interno do módulo saturator, mostrando os comparadores de limite, a lógica de seleção e os registradores de saída sincronizados com o clock do sistema.</w:t>
      </w:r>
    </w:p>
    <w:p>
      <w:r>
        <w:t>Durante a validação funcional foram executados testes com amplitudes máximas positivas, máximas negativas, valores imediatamente abaixo dos limites e casos sem overflow. Também foram avaliadas sequências contínuas de amostras para verificar a estabilidade do comportamento durante longos períodos de operação.</w:t>
      </w:r>
    </w:p>
    <w:p>
      <w:r>
        <w:t>Os resultados demonstraram que a estratégia de saturação elimina os efeitos indesejados do wrap-around e mantém a coerência da representação numérica mesmo sob condições extremas de processamento. Essa característica é particularmente importante em aplicações de predistorção digital, nas quais erros de grande magnitude podem comprometer a linearização do amplificador.</w:t>
      </w:r>
    </w:p>
    <w:p>
      <w:r>
        <w:t>Em síntese, o módulo saturator encerra o fluxo de processamento do DPDnano-Lite garantindo que o sinal entregue à interface de saída permaneça compatível com o formato numérico especificado. Sua implementação privilegia robustez, previsibilidade e simplicidade, concluindo a estratégia de tratamento numérico adotada em toda a arquitetura.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 de projeto</w:t>
            </w:r>
          </w:p>
        </w:tc>
        <w:tc>
          <w:tcPr>
            <w:tcW w:type="dxa" w:w="4320"/>
          </w:tcPr>
          <w:p>
            <w:r>
              <w:t>Justificativa</w:t>
            </w:r>
          </w:p>
        </w:tc>
      </w:tr>
      <w:tr>
        <w:tc>
          <w:tcPr>
            <w:tcW w:type="dxa" w:w="4320"/>
          </w:tcPr>
          <w:p>
            <w:r>
              <w:t>Saturação explícita</w:t>
            </w:r>
          </w:p>
        </w:tc>
        <w:tc>
          <w:tcPr>
            <w:tcW w:type="dxa" w:w="4320"/>
          </w:tcPr>
          <w:p>
            <w:r>
              <w:t>Evita erros provocados por wrap-around</w:t>
            </w:r>
          </w:p>
        </w:tc>
      </w:tr>
      <w:tr>
        <w:tc>
          <w:tcPr>
            <w:tcW w:type="dxa" w:w="4320"/>
          </w:tcPr>
          <w:p>
            <w:r>
              <w:t>Módulo dedicado</w:t>
            </w:r>
          </w:p>
        </w:tc>
        <w:tc>
          <w:tcPr>
            <w:tcW w:type="dxa" w:w="4320"/>
          </w:tcPr>
          <w:p>
            <w:r>
              <w:t>Separação entre limitação de amplitude e arredondamento</w:t>
            </w:r>
          </w:p>
        </w:tc>
      </w:tr>
      <w:tr>
        <w:tc>
          <w:tcPr>
            <w:tcW w:type="dxa" w:w="4320"/>
          </w:tcPr>
          <w:p>
            <w:r>
              <w:t>Comparação com limites máximo e mínimo</w:t>
            </w:r>
          </w:p>
        </w:tc>
        <w:tc>
          <w:tcPr>
            <w:tcW w:type="dxa" w:w="4320"/>
          </w:tcPr>
          <w:p>
            <w:r>
              <w:t>Implementação simples e determinística</w:t>
            </w:r>
          </w:p>
        </w:tc>
      </w:tr>
      <w:tr>
        <w:tc>
          <w:tcPr>
            <w:tcW w:type="dxa" w:w="4320"/>
          </w:tcPr>
          <w:p>
            <w:r>
              <w:t>Saída registrada</w:t>
            </w:r>
          </w:p>
        </w:tc>
        <w:tc>
          <w:tcPr>
            <w:tcW w:type="dxa" w:w="4320"/>
          </w:tcPr>
          <w:p>
            <w:r>
              <w:t>Sincronização com o pipeline global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