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5.14 Fluxo dos Dados da Arquitetura</w:t>
      </w:r>
    </w:p>
    <w:p>
      <w:pPr>
        <w:pStyle w:val="Heading3"/>
      </w:pPr>
      <w:r>
        <w:t>5.14.1 Visão Geral</w:t>
      </w:r>
    </w:p>
    <w:p>
      <w:r>
        <w:t>O fluxo de dados do DPDnano-Lite foi concebido para implementar o modelo Memory Polynomial de forma modular e pipelineada. Em vez de concentrar todas as operações em um único bloco, a arquitetura distribui as funções matemáticas em módulos especializados, reduzindo o caminho crítico, simplificando a verificação funcional e favorecendo a síntese em FPGAs de pequeno porte.</w:t>
      </w:r>
    </w:p>
    <w:p>
      <w:pPr>
        <w:pStyle w:val="Heading3"/>
      </w:pPr>
      <w:r>
        <w:t>5.14.2 Modelo Matemático</w:t>
      </w:r>
    </w:p>
    <w:p>
      <w:r>
        <w:t>A arquitetura efetivamente validada implementa uma forma simplificada do predistorcedor polinomial complexo, composta por um ramo linear e um ramo cúbico calculado sobre a amostra corrente. Em termos funcionais, cada amostra percorre a sequência de multiplicação linear complexa, geração do termo cúbico, ponderação do ramo não linear, acumulação das contribuições e conversão para o formato final de saída. Embora a formulação conceitual do Memory Polynomial tenha orientado o desenvolvimento, o topo congelado exercitado nos testes não explicita, dentro de dpd_core, a estrutura completa com múltiplos atrasos temporais.</w:t>
      </w:r>
    </w:p>
    <w:p>
      <w:pPr>
        <w:pStyle w:val="Heading3"/>
      </w:pPr>
      <w:r>
        <w:t>5.14.3 Fluxo RTL</w:t>
      </w:r>
    </w:p>
    <w:p>
      <w:r>
        <w:t>As amostras complexas entram simultaneamente em dois ramos. No ramo linear, complex_mult multiplica diretamente a entrada pelo coeficiente coef1. No ramo não linear, poly_kernel calcula a grandeza de magnitude ao quadrado e o termo cúbico complexo, que é então ponderado por poly_branch mediante o coeficiente coef3. Em seguida, o ramo linear é atrasado por um registrador para alinhamento temporal com o ramo cúbico, ambos são somados no acumulador interno e, finalmente, rounding converte a precisão para Q1.15 e saturator limita a faixa dinâmica e registra a saída.</w:t>
      </w:r>
    </w:p>
    <w:p>
      <w:pPr>
        <w:pStyle w:val="Heading3"/>
      </w:pPr>
      <w:r>
        <w:t>5.14.4 Evolução Numérica</w:t>
      </w:r>
    </w:p>
    <w:p>
      <w:r>
        <w:t>Uma decisão importante foi preservar a maior precisão possível ao longo do datapath. O ramo linear e o ramo cúbico operam em formatos internos mais largos, e a redução de precisão é concentrada na etapa de rounding, imediatamente antes da saturação final. Essa estratégia minimiza o erro de quantização acumulado e mantém coerência com a separação funcional entre arredondamento e saturação adotada na RTL congelada.</w:t>
      </w:r>
    </w:p>
    <w:p>
      <w:pPr>
        <w:pStyle w:val="Heading3"/>
      </w:pPr>
      <w:r>
        <w:t>5.14.5 Pipeline</w:t>
      </w:r>
    </w:p>
    <w:p>
      <w:r>
        <w:t>Todos os módulos são sincronizados pelo mesmo clock. Registradores entre os blocos dividem o processamento em estágios independentes. Após o enchimento inicial do pipeline, uma nova amostra pode ser aceita a cada ciclo de clock, caracterizando throughput de uma amostra por ciclo.</w:t>
      </w:r>
    </w:p>
    <w:p>
      <w:pPr>
        <w:pStyle w:val="Heading3"/>
      </w:pPr>
      <w:r>
        <w:t>5.14.6 Latência</w:t>
      </w:r>
    </w:p>
    <w:p>
      <w:r>
        <w:t>A latência total corresponde à soma dos registradores inseridos ao longo do pipeline. Embora superior à de uma implementação puramente combinacional, essa decisão permite maior frequência de operação, melhor fechamento de temporização e elevada previsibilidade temporal.</w:t>
      </w:r>
    </w:p>
    <w:p>
      <w:pPr>
        <w:pStyle w:val="Heading3"/>
      </w:pPr>
      <w:r>
        <w:t>5.14.7 Considerações de Engenharia</w:t>
      </w:r>
    </w:p>
    <w:p>
      <w:r>
        <w:t>A separação entre geração dos termos, ponderação dos ramos, acumulação, arredondamento e saturação reduz o acoplamento entre módulos, facilita a depuração, permite reutilização de hardware e favorece futuras extensões da arquitetura. Com rigor científico, contudo, deve-se registrar que o armazenamento interno de coeficientes por meio de coeff_bank não participa do fluxo principal exercitado pelo topo congelado, no qual os coeficientes entram externamente por porta.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Tabela 5.13 – Estágio</w:t>
            </w:r>
          </w:p>
        </w:tc>
        <w:tc>
          <w:tcPr>
            <w:tcW w:type="dxa" w:w="4320"/>
          </w:tcPr>
          <w:p>
            <w:r>
              <w:t>Função</w:t>
            </w:r>
          </w:p>
        </w:tc>
      </w:tr>
      <w:tr>
        <w:tc>
          <w:tcPr>
            <w:tcW w:type="dxa" w:w="4320"/>
          </w:tcPr>
          <w:p>
            <w:r>
              <w:t>iq_delay</w:t>
            </w:r>
          </w:p>
        </w:tc>
        <w:tc>
          <w:tcPr>
            <w:tcW w:type="dxa" w:w="4320"/>
          </w:tcPr>
          <w:p>
            <w:r>
              <w:t>Memória temporal</w:t>
            </w:r>
          </w:p>
        </w:tc>
      </w:tr>
      <w:tr>
        <w:tc>
          <w:tcPr>
            <w:tcW w:type="dxa" w:w="4320"/>
          </w:tcPr>
          <w:p>
            <w:r>
              <w:t>poly_kernel</w:t>
            </w:r>
          </w:p>
        </w:tc>
        <w:tc>
          <w:tcPr>
            <w:tcW w:type="dxa" w:w="4320"/>
          </w:tcPr>
          <w:p>
            <w:r>
              <w:t>Geração dos termos</w:t>
            </w:r>
          </w:p>
        </w:tc>
      </w:tr>
      <w:tr>
        <w:tc>
          <w:tcPr>
            <w:tcW w:type="dxa" w:w="4320"/>
          </w:tcPr>
          <w:p>
            <w:r>
              <w:t>poly_branch</w:t>
            </w:r>
          </w:p>
        </w:tc>
        <w:tc>
          <w:tcPr>
            <w:tcW w:type="dxa" w:w="4320"/>
          </w:tcPr>
          <w:p>
            <w:r>
              <w:t>Distribuição dos ramos</w:t>
            </w:r>
          </w:p>
        </w:tc>
      </w:tr>
      <w:tr>
        <w:tc>
          <w:tcPr>
            <w:tcW w:type="dxa" w:w="4320"/>
          </w:tcPr>
          <w:p>
            <w:r>
              <w:t>complex_mult</w:t>
            </w:r>
          </w:p>
        </w:tc>
        <w:tc>
          <w:tcPr>
            <w:tcW w:type="dxa" w:w="4320"/>
          </w:tcPr>
          <w:p>
            <w:r>
              <w:t>Ponderação</w:t>
            </w:r>
          </w:p>
        </w:tc>
      </w:tr>
      <w:tr>
        <w:tc>
          <w:tcPr>
            <w:tcW w:type="dxa" w:w="4320"/>
          </w:tcPr>
          <w:p>
            <w:r>
              <w:t>complex_add</w:t>
            </w:r>
          </w:p>
        </w:tc>
        <w:tc>
          <w:tcPr>
            <w:tcW w:type="dxa" w:w="4320"/>
          </w:tcPr>
          <w:p>
            <w:r>
              <w:t>Acumulação</w:t>
            </w:r>
          </w:p>
        </w:tc>
      </w:tr>
      <w:tr>
        <w:tc>
          <w:tcPr>
            <w:tcW w:type="dxa" w:w="4320"/>
          </w:tcPr>
          <w:p>
            <w:r>
              <w:t>rounding</w:t>
            </w:r>
          </w:p>
        </w:tc>
        <w:tc>
          <w:tcPr>
            <w:tcW w:type="dxa" w:w="4320"/>
          </w:tcPr>
          <w:p>
            <w:r>
              <w:t>Conversão de precisão</w:t>
            </w:r>
          </w:p>
        </w:tc>
      </w:tr>
      <w:tr>
        <w:tc>
          <w:tcPr>
            <w:tcW w:type="dxa" w:w="4320"/>
          </w:tcPr>
          <w:p>
            <w:r>
              <w:t>saturator</w:t>
            </w:r>
          </w:p>
        </w:tc>
        <w:tc>
          <w:tcPr>
            <w:tcW w:type="dxa" w:w="4320"/>
          </w:tcPr>
          <w:p>
            <w:r>
              <w:t>Limitação da saída</w:t>
            </w:r>
          </w:p>
        </w:tc>
      </w:tr>
    </w:tbl>
    <w:p>
      <w:r>
        <w:t>Figura 5.13 (a inserir): Diagrama completo do fluxo de dados do DPDnano-Lite.</w:t>
      </w:r>
    </w:p>
    <w:p>
      <w:r>
        <w:t>Figura 5.14 (a inserir): Organização pipeline entre os módulos RTL.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