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5.2 Arquivo de Configuração (config.vh)</w:t>
      </w:r>
    </w:p>
    <w:p>
      <w:r>
        <w:t>Todo projeto RTL de médio ou grande porte necessita de um mecanismo que concentre os parâmetros globais da arquitetura em um único ponto de configuração. No DPDnano-Lite essa função é desempenhada pelo arquivo config.vh, responsável por definir as constantes utilizadas por todos os módulos da arquitetura. A centralização desses parâmetros evita inconsistências entre módulos, facilita a manutenção do código e permite que diferentes versões da arquitetura sejam geradas sem alterações estruturais no RTL.</w:t>
      </w:r>
    </w:p>
    <w:p>
      <w:r>
        <w:t>Durante a definição da arquitetura foram avaliadas diferentes estratégias para armazenar parâmetros globais, incluindo constantes locais em cada módulo, parâmetros individuais (parameter) e arquivos de inclusão. A utilização de constantes distribuídas foi descartada por aumentar a probabilidade de divergências entre módulos durante futuras evoluções do projeto. Também foi evitada a duplicação de parâmetros em diferentes arquivos, pois isso dificultaria a rastreabilidade das alterações.</w:t>
      </w:r>
    </w:p>
    <w:p>
      <w:r>
        <w:t>Como decisão de engenharia, optou-se pela utilização de um único arquivo de configuração compartilhado por toda a arquitetura. Dessa forma, qualquer modificação na largura de palavra, profundidade de memória ou ordem polinomial é automaticamente propagada para todos os módulos durante a compilação, preservando a consistência da implementação.</w:t>
      </w:r>
    </w:p>
    <w:p>
      <w:r>
        <w:t>Os parâmetros definidos no arquivo config.vh podem ser agrupados em cinco categorias principais: representação numérica, formatos e larguras internas de processamento, parâmetros de compatibilidade estrutural, sinalização de controle e constantes auxiliares. Essa organização facilita a leitura do código e reduz a possibilidade de erros durante a manutenção.</w:t>
      </w:r>
    </w:p>
    <w:p>
      <w:r>
        <w:t>Os formatos numéricos congelados da arquitetura foram definidos após sucessivas simulações e análises do crescimento de palavra ao longo do datapath. O objetivo foi manter a precisão necessária durante as multiplicações e acumulações sem exceder a capacidade dos recursos disponíveis na FPGA Tang Nano 4K. Assim, os sinais de entrada, saída e coeficientes utilizam representação Q1.15, enquanto as variáveis intermediárias possuem largura expandida para evitar perda de precisão e reduzir a probabilidade de overflow.</w:t>
      </w:r>
    </w:p>
    <w:p>
      <w:r>
        <w:t>Outro aspecto importante refere-se à presença de constantes estruturais associadas à organização da arquitetura, como profundidade de atraso nominal, larguras de acumuladores e formatos intermediários. Embora a versão congelada do DPDnano-Lite utilize uma configuração específica e um datapath efetivamente validado de baixa complexidade, a centralização dessas definições em config.vh preserva a consistência do projeto e facilita futuras evoluções controladas da arquitetura.</w:t>
      </w:r>
    </w:p>
    <w:p>
      <w:r>
        <w:t>Do ponto de vista da engenharia de software aplicada ao desenvolvimento de hardware, essa abordagem melhora significativamente a reutilização do código, reduz o esforço de manutenção e simplifica o processo de validação. Alterações realizadas no arquivo de configuração são refletidas automaticamente em toda a hierarquia do projeto, reduzindo o risco de incompatibilidades entre módulos.</w:t>
      </w:r>
    </w:p>
    <w:p>
      <w:r>
        <w:t>Além da parametrização funcional, o arquivo config.vh também estabelece uma padronização de nomenclatura para os barramentos internos e formatos numéricos. Essa padronização facilita a leitura dos arquivos Verilog, melhora a documentação do projeto e simplifica a criação de testbenches reutilizáveis.</w:t>
      </w:r>
    </w:p>
    <w:p>
      <w:r>
        <w:t>Na sequência deste capítulo, cada grupo de parâmetros será relacionado diretamente aos módulos RTL correspondentes, demonstrando como as constantes definidas em config.vh influenciam a implementação, a utilização de recursos, a temporização e a precisão numérica do DPDnano-Lite.</w:t>
      </w:r>
    </w:p>
    <w:p>
      <w:pPr>
        <w:pStyle w:val="Heading3"/>
      </w:pPr>
      <w:r>
        <w:t>Tabela 5.1 – Principais grupos de parâmetros do arquivo config.vh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Grupo</w:t>
            </w:r>
          </w:p>
        </w:tc>
        <w:tc>
          <w:tcPr>
            <w:tcW w:type="dxa" w:w="2880"/>
          </w:tcPr>
          <w:p>
            <w:r>
              <w:t>Exemplos</w:t>
            </w:r>
          </w:p>
        </w:tc>
        <w:tc>
          <w:tcPr>
            <w:tcW w:type="dxa" w:w="2880"/>
          </w:tcPr>
          <w:p>
            <w:r>
              <w:t>Finalidade</w:t>
            </w:r>
          </w:p>
        </w:tc>
      </w:tr>
      <w:tr>
        <w:tc>
          <w:tcPr>
            <w:tcW w:type="dxa" w:w="2880"/>
          </w:tcPr>
          <w:p>
            <w:r>
              <w:t>Representação numérica</w:t>
            </w:r>
          </w:p>
        </w:tc>
        <w:tc>
          <w:tcPr>
            <w:tcW w:type="dxa" w:w="2880"/>
          </w:tcPr>
          <w:p>
            <w:r>
              <w:t>DATA_WIDTH, DATA_FRAC_BITS</w:t>
            </w:r>
          </w:p>
        </w:tc>
        <w:tc>
          <w:tcPr>
            <w:tcW w:type="dxa" w:w="2880"/>
          </w:tcPr>
          <w:p>
            <w:r>
              <w:t>Definir formatos Q e largura de palavra</w:t>
            </w:r>
          </w:p>
        </w:tc>
      </w:tr>
      <w:tr>
        <w:tc>
          <w:tcPr>
            <w:tcW w:type="dxa" w:w="2880"/>
          </w:tcPr>
          <w:p>
            <w:r>
              <w:t>Coeficientes</w:t>
            </w:r>
          </w:p>
        </w:tc>
        <w:tc>
          <w:tcPr>
            <w:tcW w:type="dxa" w:w="2880"/>
          </w:tcPr>
          <w:p>
            <w:r>
              <w:t>COEF_WIDTH, COEF_FRAC_BITS</w:t>
            </w:r>
          </w:p>
        </w:tc>
        <w:tc>
          <w:tcPr>
            <w:tcW w:type="dxa" w:w="2880"/>
          </w:tcPr>
          <w:p>
            <w:r>
              <w:t>Padronizar coeficientes complexos</w:t>
            </w:r>
          </w:p>
        </w:tc>
      </w:tr>
      <w:tr>
        <w:tc>
          <w:tcPr>
            <w:tcW w:type="dxa" w:w="2880"/>
          </w:tcPr>
          <w:p>
            <w:r>
              <w:t>Processamento interno</w:t>
            </w:r>
          </w:p>
        </w:tc>
        <w:tc>
          <w:tcPr>
            <w:tcW w:type="dxa" w:w="2880"/>
          </w:tcPr>
          <w:p>
            <w:r>
              <w:t>MAG2_WIDTH, TERM_WIDTH, ACC_WIDTH</w:t>
            </w:r>
          </w:p>
        </w:tc>
        <w:tc>
          <w:tcPr>
            <w:tcW w:type="dxa" w:w="2880"/>
          </w:tcPr>
          <w:p>
            <w:r>
              <w:t>Preservar precisão intermediária</w:t>
            </w:r>
          </w:p>
        </w:tc>
      </w:tr>
      <w:tr>
        <w:tc>
          <w:tcPr>
            <w:tcW w:type="dxa" w:w="2880"/>
          </w:tcPr>
          <w:p>
            <w:r>
              <w:t>Modelo</w:t>
            </w:r>
          </w:p>
        </w:tc>
        <w:tc>
          <w:tcPr>
            <w:tcW w:type="dxa" w:w="2880"/>
          </w:tcPr>
          <w:p>
            <w:r>
              <w:t>DPD_ORDER, DPD_MEMORY_DEPTH</w:t>
            </w:r>
          </w:p>
        </w:tc>
        <w:tc>
          <w:tcPr>
            <w:tcW w:type="dxa" w:w="2880"/>
          </w:tcPr>
          <w:p>
            <w:r>
              <w:t>Configurar o Memory Polynomial</w:t>
            </w:r>
          </w:p>
        </w:tc>
      </w:tr>
      <w:tr>
        <w:tc>
          <w:tcPr>
            <w:tcW w:type="dxa" w:w="2880"/>
          </w:tcPr>
          <w:p>
            <w:r>
              <w:t>Controle</w:t>
            </w:r>
          </w:p>
        </w:tc>
        <w:tc>
          <w:tcPr>
            <w:tcW w:type="dxa" w:w="2880"/>
          </w:tcPr>
          <w:p>
            <w:r>
              <w:t>Constantes auxiliares</w:t>
            </w:r>
          </w:p>
        </w:tc>
        <w:tc>
          <w:tcPr>
            <w:tcW w:type="dxa" w:w="2880"/>
          </w:tcPr>
          <w:p>
            <w:r>
              <w:t>Padronizar toda a arquitetura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