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Lista de Verificação de Controles e Conformidade</w:t>
      </w:r>
    </w:p>
    <w:p>
      <w:r>
        <w:t>Para preencher a lista de verificação de avaliação de controles, consulte as informações fornecidas no relatório de escopo, metas e avaliação de risco. Para mais detalhes sobre cada controle, incluindo o tipo e finalidade, consulte o documento de categorias de controles.</w:t>
        <w:br/>
        <w:br/>
        <w:t>Em seguida, selecione “sim” ou “não” para responder à pergunta: A Botium Toys atualmente possui este controle implementado?</w:t>
      </w:r>
    </w:p>
    <w:p>
      <w:pPr>
        <w:pStyle w:val="Heading1"/>
      </w:pPr>
      <w:r>
        <w:t>Lista de Verificação de Controles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Sim</w:t>
            </w:r>
          </w:p>
        </w:tc>
        <w:tc>
          <w:tcPr>
            <w:tcW w:type="dxa" w:w="2880"/>
          </w:tcPr>
          <w:p>
            <w:r>
              <w:t>Não</w:t>
            </w:r>
          </w:p>
        </w:tc>
        <w:tc>
          <w:tcPr>
            <w:tcW w:type="dxa" w:w="2880"/>
          </w:tcPr>
          <w:p>
            <w:r>
              <w:t>Controle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>
              <w:t>Privilégio mínimo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>
              <w:t>Planos de recuperação de desastres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>
              <w:t>Políticas de senhas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>
              <w:t>Separação de funções</w:t>
            </w:r>
          </w:p>
        </w:tc>
      </w:tr>
      <w:tr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Firewall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>
              <w:t>Sistema de detecção de intrusões (IDS)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>
              <w:t>Backups</w:t>
            </w:r>
          </w:p>
        </w:tc>
      </w:tr>
      <w:tr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Software antivírus</w:t>
            </w:r>
          </w:p>
        </w:tc>
      </w:tr>
      <w:tr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Monitoramento, manutenção e intervenção manual para sistemas legados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>
              <w:t>Criptografia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>
              <w:t>Sistema de gerenciamento de senhas</w:t>
            </w:r>
          </w:p>
        </w:tc>
      </w:tr>
      <w:tr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Trancas (escritórios, loja, armazém)</w:t>
            </w:r>
          </w:p>
        </w:tc>
      </w:tr>
      <w:tr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Vigilância por circuito fechado de TV (CCTV)</w:t>
            </w:r>
          </w:p>
        </w:tc>
      </w:tr>
      <w:tr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Detecção/prevenção de incêndio (alarme de incêndio, sprinklers, etc.)</w:t>
            </w:r>
          </w:p>
        </w:tc>
      </w:tr>
    </w:tbl>
    <w:p>
      <w:pPr>
        <w:pStyle w:val="Heading1"/>
      </w:pPr>
      <w:r>
        <w:t>Padrão de Segurança de Dados para a Indústria de Cartões de Pagamento (PCI DSS)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Sim</w:t>
            </w:r>
          </w:p>
        </w:tc>
        <w:tc>
          <w:tcPr>
            <w:tcW w:type="dxa" w:w="2880"/>
          </w:tcPr>
          <w:p>
            <w:r>
              <w:t>Não</w:t>
            </w:r>
          </w:p>
        </w:tc>
        <w:tc>
          <w:tcPr>
            <w:tcW w:type="dxa" w:w="2880"/>
          </w:tcPr>
          <w:p>
            <w:r>
              <w:t>Prática recomendada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>
              <w:t>Somente usuários autorizados têm acesso às informações de cartão de crédito dos clientes.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>
              <w:t>As informações de cartão de crédito são armazenadas, aceitas, processadas e transmitidas internamente em um ambiente seguro.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>
              <w:t>Implementar procedimentos de criptografia de dados para proteger pontos de transação e dados de cartões de crédito.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>
              <w:t>Adotar políticas seguras de gerenciamento de senhas.</w:t>
            </w:r>
          </w:p>
        </w:tc>
      </w:tr>
    </w:tbl>
    <w:p>
      <w:pPr>
        <w:pStyle w:val="Heading1"/>
      </w:pPr>
      <w:r>
        <w:t>Regulamento Geral de Proteção de Dados (GDPR)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Sim</w:t>
            </w:r>
          </w:p>
        </w:tc>
        <w:tc>
          <w:tcPr>
            <w:tcW w:type="dxa" w:w="2880"/>
          </w:tcPr>
          <w:p>
            <w:r>
              <w:t>Não</w:t>
            </w:r>
          </w:p>
        </w:tc>
        <w:tc>
          <w:tcPr>
            <w:tcW w:type="dxa" w:w="2880"/>
          </w:tcPr>
          <w:p>
            <w:r>
              <w:t>Prática recomendada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>
              <w:t>Os dados dos clientes da UE são mantidos privados/seguros.</w:t>
            </w:r>
          </w:p>
        </w:tc>
      </w:tr>
      <w:tr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Existe um plano para notificar os clientes da UE em até 72 horas caso seus dados sejam comprometidos/haja uma violação.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>
              <w:t>Garantir que os dados sejam devidamente classificados e inventariados.</w:t>
            </w:r>
          </w:p>
        </w:tc>
      </w:tr>
      <w:tr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Aplicar políticas, procedimentos e processos de privacidade para documentar e manter os dados de forma adequada.</w:t>
            </w:r>
          </w:p>
        </w:tc>
      </w:tr>
    </w:tbl>
    <w:p>
      <w:pPr>
        <w:pStyle w:val="Heading1"/>
      </w:pPr>
      <w:r>
        <w:t>Controles de Sistemas e Organizações (SOC tipo 1, SOC tipo 2)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Sim</w:t>
            </w:r>
          </w:p>
        </w:tc>
        <w:tc>
          <w:tcPr>
            <w:tcW w:type="dxa" w:w="2880"/>
          </w:tcPr>
          <w:p>
            <w:r>
              <w:t>Não</w:t>
            </w:r>
          </w:p>
        </w:tc>
        <w:tc>
          <w:tcPr>
            <w:tcW w:type="dxa" w:w="2880"/>
          </w:tcPr>
          <w:p>
            <w:r>
              <w:t>Prática recomendada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>
              <w:t>Políticas de acesso de usuários estão estabelecidas.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>
              <w:t>Dados sensíveis (PII/SPII) são mantidos confidenciais/privados.</w:t>
            </w:r>
          </w:p>
        </w:tc>
      </w:tr>
      <w:tr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A integridade dos dados garante que eles sejam consistentes, completos, precisos e validados.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✔️</w:t>
            </w:r>
          </w:p>
        </w:tc>
        <w:tc>
          <w:tcPr>
            <w:tcW w:type="dxa" w:w="2880"/>
          </w:tcPr>
          <w:p>
            <w:r>
              <w:t>Os dados estão disponíveis para indivíduos autorizados a acessá-los.</w:t>
            </w:r>
          </w:p>
        </w:tc>
      </w:tr>
    </w:tbl>
    <w:p>
      <w:pPr>
        <w:pStyle w:val="Heading1"/>
      </w:pPr>
      <w:r>
        <w:t>Recomendações (opcional)</w:t>
      </w:r>
    </w:p>
    <w:p>
      <w:r>
        <w:t>Diversos controles precisam ser implementados para melhorar a postura de segurança da Botium Toys e garantir melhor confidencialidade das informações sensíveis, incluindo: Privilégio Mínimo, planos de recuperação de desastres, políticas de senhas, separação de funções, um IDS, gerenciamento contínuo de sistemas legados, criptografia e um sistema de gerenciamento de senhas.</w:t>
        <w:br/>
        <w:br/>
        <w:t>Para resolver as lacunas de conformidade, a Botium Toys precisa implementar controles como Privilégio Mínimo, separação de funções e criptografia. A empresa também precisa classificar adequadamente os ativos para identificar controles adicionais necessários à proteção das informações sensíveis.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