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a86e8"/>
          <w:sz w:val="58"/>
          <w:szCs w:val="58"/>
        </w:rPr>
      </w:pPr>
      <w:bookmarkStart w:colFirst="0" w:colLast="0" w:name="_5x0d5h95i32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5ba1"/>
          <w:sz w:val="60"/>
          <w:szCs w:val="60"/>
          <w:shd w:fill="ebf6ff" w:val="clear"/>
          <w:rtl w:val="0"/>
        </w:rPr>
        <w:t xml:space="preserve">Relatório de avaliação de vulnerabilidade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Janeiro 2025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nhcy8rpxthcf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uc6q0k08dmn" w:id="3"/>
      <w:bookmarkEnd w:id="3"/>
      <w:r w:rsidDel="00000000" w:rsidR="00000000" w:rsidRPr="00000000">
        <w:rPr>
          <w:rtl w:val="0"/>
        </w:rPr>
        <w:t xml:space="preserve">Descrição do sistema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hardware do servidor consiste em um processador CPU potente e 128 GB de memória. Ele roda a versão mais recente do sistema operacional Linux e hospeda um sistema de gerenciamento de banco de dados MySQL. Está configurado com uma conexão de rede estável usando endereços IPv4 e interage com outros servidores na rede. As medidas de segurança incluem conexões criptografadas SSL/TLS.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64wndl8jmz1" w:id="4"/>
      <w:bookmarkEnd w:id="4"/>
      <w:r w:rsidDel="00000000" w:rsidR="00000000" w:rsidRPr="00000000">
        <w:rPr>
          <w:rtl w:val="0"/>
        </w:rPr>
        <w:t xml:space="preserve">Scopo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escopo desta avaliação de vulnerabilidades relaciona-se aos controles de acesso atuais do sistema. A avaliação abrangerá um período de três meses, de junho de 2025 a agosto de 2025. A publicação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NIST SP 800-30 Rev. 1</w:t>
        </w:r>
      </w:hyperlink>
      <w:r w:rsidDel="00000000" w:rsidR="00000000" w:rsidRPr="00000000">
        <w:rPr>
          <w:rtl w:val="0"/>
        </w:rPr>
        <w:t xml:space="preserve"> é utilizada como guia para a análise de riscos do sistema de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rPr/>
      </w:pPr>
      <w:bookmarkStart w:colFirst="0" w:colLast="0" w:name="_oymnw3nlvwib" w:id="5"/>
      <w:bookmarkEnd w:id="5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Considere as seguintes questões para ajudá-lo(a) a escrever: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Qual a importância do servidor de banco de dados para o negócio?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 que é importante para a empresa proteger os dados no servidor?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Qual seria o impacto do servidor nos negócios se ele fosse desativado?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2ip4lwifo50" w:id="6"/>
      <w:bookmarkEnd w:id="6"/>
      <w:r w:rsidDel="00000000" w:rsidR="00000000" w:rsidRPr="00000000">
        <w:rPr>
          <w:rtl w:val="0"/>
        </w:rPr>
        <w:t xml:space="preserve">Avaliação de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165"/>
        <w:gridCol w:w="1890"/>
        <w:gridCol w:w="1395"/>
        <w:gridCol w:w="1200"/>
        <w:tblGridChange w:id="0">
          <w:tblGrid>
            <w:gridCol w:w="1860"/>
            <w:gridCol w:w="3165"/>
            <w:gridCol w:w="1890"/>
            <w:gridCol w:w="1395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de ameaça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da ameaça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Probabilidades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Gravidade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E.g. Concorrente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Obtenha informações confidenciais por meio de exfiltração.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a9ivkvfuz16w" w:id="7"/>
      <w:bookmarkEnd w:id="7"/>
      <w:r w:rsidDel="00000000" w:rsidR="00000000" w:rsidRPr="00000000">
        <w:rPr>
          <w:rtl w:val="0"/>
        </w:rPr>
        <w:t xml:space="preserve">Abordagem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Os riscos considerados foram os métodos de armazenamento e gerenciamento de dados da empresa.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probabilidade de ocorrência de uma ameaça e o impacto desses eventos potenciais foram ponderados em relação aos riscos para as necessidades operacionais diárias.</w:t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f6vykh0xvv7" w:id="8"/>
      <w:bookmarkEnd w:id="8"/>
      <w:r w:rsidDel="00000000" w:rsidR="00000000" w:rsidRPr="00000000">
        <w:rPr>
          <w:rtl w:val="0"/>
        </w:rPr>
        <w:t xml:space="preserve">Estratégia de Remediação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Implementação de mecanismos de autenticação, autorização e auditoria para garantir que apenas usuários autorizados acessem o servidor de banco de dados.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Isso inclui o uso de senhas fortes, controles de acesso baseados em funções e autenticação multifator para limitar os privilégios dos usuários.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Criptografia de dados em trânsito usando TLS em vez de SSL. Restrição de IPs para escritórios corporativos a fim de impedir que usuários aleatórios da internet se conectem ao banco de dados.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RpdpQMEWskxSkwqEMv8W7A7x8GXQlcn0hEcDzWet3Y/template/preview?usp=sharing&amp;resourcekey=0-3GRRWAd8HryVgof-Jc33y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2" Type="http://schemas.openxmlformats.org/officeDocument/2006/relationships/font" Target="fonts/GoogleSans-boldItalic.ttf"/><Relationship Id="rId9" Type="http://schemas.openxmlformats.org/officeDocument/2006/relationships/font" Target="fonts/Google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