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960"/>
        <w:jc w:val="center"/>
      </w:pPr>
      <w:r>
        <w:rPr>
          <w:rFonts w:ascii="Arial" w:hAnsi="Arial"/>
          <w:b/>
          <w:sz w:val="28"/>
        </w:rPr>
        <w:t>SISTEMA DE COMPARAÇÃO DE SIMILARIDADE TEXTUAL:</w:t>
        <w:br/>
        <w:t>UMA ANÁLISE COMPARATIVA DE ALGORITMOS</w:t>
      </w:r>
    </w:p>
    <w:p>
      <w:pPr>
        <w:spacing w:line="360" w:lineRule="auto" w:after="120"/>
        <w:jc w:val="center"/>
      </w:pPr>
      <w:r>
        <w:rPr>
          <w:rFonts w:ascii="Arial" w:hAnsi="Arial"/>
          <w:sz w:val="24"/>
        </w:rPr>
        <w:t>[Seu Nome Completo]</w:t>
      </w:r>
    </w:p>
    <w:p>
      <w:pPr>
        <w:spacing w:line="360" w:lineRule="auto" w:after="120"/>
        <w:jc w:val="center"/>
      </w:pPr>
      <w:r>
        <w:rPr>
          <w:rFonts w:ascii="Arial" w:hAnsi="Arial"/>
          <w:sz w:val="24"/>
        </w:rPr>
        <w:t>Prof. [Nome do Orientador]</w:t>
      </w:r>
    </w:p>
    <w:p/>
    <w:p>
      <w:pPr>
        <w:spacing w:line="360" w:lineRule="auto"/>
        <w:jc w:val="center"/>
      </w:pPr>
      <w:r>
        <w:rPr>
          <w:rFonts w:ascii="Arial" w:hAnsi="Arial"/>
          <w:sz w:val="24"/>
        </w:rPr>
        <w:t>Centro Universitário UNINTER</w:t>
        <w:br/>
        <w:t>Escola Superior Politécnica</w:t>
        <w:br/>
        <w:t>Graduação em Engenharia de Software</w:t>
        <w:br/>
        <w:br/>
        <w:t>Julho de 2026</w:t>
      </w:r>
    </w:p>
    <w:p>
      <w:r>
        <w:br w:type="page"/>
      </w:r>
    </w:p>
    <w:p>
      <w:pPr>
        <w:spacing w:line="360" w:lineRule="auto" w:before="360" w:after="0"/>
      </w:pPr>
      <w:r>
        <w:rPr>
          <w:rFonts w:ascii="Arial" w:hAnsi="Arial"/>
          <w:b/>
          <w:sz w:val="24"/>
        </w:rPr>
        <w:t>RESUMO</w:t>
      </w:r>
    </w:p>
    <w:p>
      <w:pPr>
        <w:spacing w:line="240" w:lineRule="auto" w:after="0"/>
      </w:pPr>
      <w:r>
        <w:rPr>
          <w:rFonts w:ascii="Arial" w:hAnsi="Arial"/>
          <w:sz w:val="20"/>
        </w:rPr>
        <w:t>O presente trabalho apresenta uma análise comparativa de três algoritmos clássicos de similaridade textual: TF-IDF com Similaridade de Cosseno, Coeficiente de Jaccard e Distância de Levenshtein. A similaridade textual é problema central em diversas áreas da Computação, com aplicações em detecção de plágio, recuperação de informação, deduplicação de dados e sistemas de recomendação. Foi desenvolvido um sistema funcional em arquitetura em camadas que implementa os três algoritmos e disponibiliza interface web para comparação de textos via colagem ou upload de arquivos. A avaliação foi conduzida sobre um dataset de 26 pares de textos em língua portuguesa, manualmente rotulados como similares ou dissimilares por critério especializado, com uso de métricas baseadas em matriz de confusão: F1-Score, Precision, Recall e Accuracy. Os resultados indicam que cada algoritmo apresenta perfil próprio de desempenho: o TF-IDF mostrou-se mais robusto para análise semântica; o Jaccard, eficiente para deduplicação rápida; e o Levenshtein, superior na detecção de variações ortográficas. Conclui-se que a seleção do algoritmo deve considerar o contexto de aplicação e os trade-offs entre velocidade, precisão e interpretabilidade.</w:t>
      </w:r>
    </w:p>
    <w:p>
      <w:pPr>
        <w:spacing w:line="240" w:lineRule="auto" w:after="240"/>
      </w:pPr>
      <w:r>
        <w:rPr>
          <w:b/>
        </w:rPr>
        <w:t xml:space="preserve">Palavras-chave: </w:t>
      </w:r>
      <w:r>
        <w:rPr>
          <w:rFonts w:ascii="Arial" w:hAnsi="Arial"/>
          <w:sz w:val="20"/>
        </w:rPr>
        <w:t>similaridade textual. TF-IDF. coeficiente de Jaccard. distância de Levenshtein. processamento de linguagem natural. análise comparativa.</w:t>
      </w:r>
    </w:p>
    <w:p>
      <w:r>
        <w:br w:type="page"/>
      </w:r>
    </w:p>
    <w:p>
      <w:pPr>
        <w:spacing w:line="360" w:lineRule="auto" w:before="360" w:after="0"/>
      </w:pPr>
      <w:r>
        <w:rPr>
          <w:rFonts w:ascii="Arial" w:hAnsi="Arial"/>
          <w:b/>
          <w:sz w:val="24"/>
        </w:rPr>
        <w:t>1 INTRODUÇÃO</w:t>
      </w:r>
    </w:p>
    <w:p>
      <w:pPr>
        <w:spacing w:line="360" w:lineRule="auto" w:before="120" w:after="0"/>
      </w:pPr>
      <w:r>
        <w:rPr>
          <w:rFonts w:ascii="Arial" w:hAnsi="Arial"/>
          <w:b/>
          <w:sz w:val="24"/>
        </w:rPr>
        <w:t>1.1 Problemática</w:t>
      </w:r>
    </w:p>
    <w:p>
      <w:pPr>
        <w:spacing w:line="360" w:lineRule="auto" w:after="0"/>
        <w:ind w:firstLine="709"/>
      </w:pPr>
      <w:r>
        <w:rPr>
          <w:rFonts w:ascii="Arial" w:hAnsi="Arial"/>
          <w:sz w:val="24"/>
        </w:rPr>
        <w:t>A detecção e quantificação de similaridade entre textos é problema fundamental em diversas áreas da Ciência da Computação, incluindo recuperação de informação, detecção de plágio, deduplicação de conteúdo e análise comparativa de documentos. O crescimento exponencial de dados textuais gerados diariamente — em redes sociais, bases de dados acadêmicas, arquivos corporativos e plataformas colaborativas — torna a automatização dessa tarefa crítica para eficiência operacional e segurança da informação.</w:t>
      </w:r>
    </w:p>
    <w:p>
      <w:pPr>
        <w:spacing w:line="360" w:lineRule="auto" w:after="0"/>
        <w:ind w:firstLine="709"/>
      </w:pPr>
      <w:r>
        <w:rPr>
          <w:rFonts w:ascii="Arial" w:hAnsi="Arial"/>
          <w:sz w:val="24"/>
        </w:rPr>
        <w:t>Diferentes contextos de aplicação, entretanto, demandam diferentes abordagens algorítmicas. Enquanto alguns cenários exigem precisão na comparação de palavras-chave — como na detecção de plágio acadêmico —, outros requerem robustez a variações ortográficas e morfológicas, como no matching de nomes em sistemas de registro público. Há ainda demanda por algoritmos computacionalmente eficientes para processamento de grandes volumes, bem como algoritmos semanticamente sofisticados para análise de similaridade conceitual. A literatura científica e a prática profissional convergem ao apontar que não existe um algoritmo único ótimo para todos os contextos.</w:t>
      </w:r>
    </w:p>
    <w:p>
      <w:pPr>
        <w:spacing w:line="360" w:lineRule="auto" w:before="120" w:after="0"/>
      </w:pPr>
      <w:r>
        <w:rPr>
          <w:rFonts w:ascii="Arial" w:hAnsi="Arial"/>
          <w:b/>
          <w:sz w:val="24"/>
        </w:rPr>
        <w:t>1.2 Pergunta de Pesquisa</w:t>
      </w:r>
    </w:p>
    <w:p>
      <w:pPr>
        <w:spacing w:line="360" w:lineRule="auto" w:after="0"/>
        <w:ind w:firstLine="709"/>
      </w:pPr>
      <w:r>
        <w:rPr>
          <w:rFonts w:ascii="Arial" w:hAnsi="Arial"/>
          <w:sz w:val="24"/>
        </w:rPr>
        <w:t>Qual é o desempenho comparativo de três algoritmos clássicos de similaridade textual — TF-IDF com Similaridade de Cosseno, Coeficiente de Jaccard e Distância de Levenshtein — quando aplicados a cenários reais de comparação, e em quais contextos cada algoritmo apresenta vantagens mensuráveis sobre os demais?</w:t>
      </w:r>
    </w:p>
    <w:p>
      <w:pPr>
        <w:spacing w:line="360" w:lineRule="auto" w:before="120" w:after="0"/>
      </w:pPr>
      <w:r>
        <w:rPr>
          <w:rFonts w:ascii="Arial" w:hAnsi="Arial"/>
          <w:b/>
          <w:sz w:val="24"/>
        </w:rPr>
        <w:t>1.3 Justificativa</w:t>
      </w:r>
    </w:p>
    <w:p>
      <w:pPr>
        <w:spacing w:line="360" w:lineRule="auto" w:after="0"/>
        <w:ind w:firstLine="709"/>
      </w:pPr>
      <w:r>
        <w:rPr>
          <w:rFonts w:ascii="Arial" w:hAnsi="Arial"/>
          <w:sz w:val="24"/>
        </w:rPr>
        <w:t>Do ponto de vista acadêmico, a comparação sistemática desses algoritmos contribui para a formação de engenheiros de software capacitados a tomar decisões arquiteturais informadas. Do ponto de vista prático, as conclusões orientam a seleção de algoritmos em sistemas reais de busca, deduplicação ou recomendação. Do ponto de vista científico, embora existam muitos estudos individuais de cada algoritmo, há lacuna relativa na literatura de trabalhos que os comparam sistematicamente em um mesmo contexto de aplicação — lacuna que este trabalho busca preencher.</w:t>
      </w:r>
    </w:p>
    <w:p>
      <w:pPr>
        <w:spacing w:line="360" w:lineRule="auto" w:before="120" w:after="0"/>
      </w:pPr>
      <w:r>
        <w:rPr>
          <w:rFonts w:ascii="Arial" w:hAnsi="Arial"/>
          <w:b/>
          <w:sz w:val="24"/>
        </w:rPr>
        <w:t>1.4 Objetivos</w:t>
      </w:r>
    </w:p>
    <w:p>
      <w:pPr>
        <w:spacing w:line="360" w:lineRule="auto" w:before="240" w:after="0"/>
      </w:pPr>
      <w:r>
        <w:rPr>
          <w:rFonts w:ascii="Arial" w:hAnsi="Arial"/>
          <w:b w:val="0"/>
          <w:sz w:val="24"/>
        </w:rPr>
        <w:t>1.4.1 OBJETIVO GERAL</w:t>
      </w:r>
    </w:p>
    <w:p>
      <w:pPr>
        <w:spacing w:line="360" w:lineRule="auto" w:after="0"/>
        <w:ind w:firstLine="709"/>
      </w:pPr>
      <w:r>
        <w:rPr>
          <w:rFonts w:ascii="Arial" w:hAnsi="Arial"/>
          <w:sz w:val="24"/>
        </w:rPr>
        <w:t>Desenvolver um sistema funcional de comparação de similaridade textual que implemente três algoritmos em arquitetura profissional, e conduzir análise comparativa rigorosa do desempenho de cada um em diferentes cenários de aplicação.</w:t>
      </w:r>
    </w:p>
    <w:p>
      <w:pPr>
        <w:spacing w:line="360" w:lineRule="auto" w:before="240" w:after="0"/>
      </w:pPr>
      <w:r>
        <w:rPr>
          <w:rFonts w:ascii="Arial" w:hAnsi="Arial"/>
          <w:b w:val="0"/>
          <w:sz w:val="24"/>
        </w:rPr>
        <w:t>1.4.2 OBJETIVOS ESPECÍFICOS</w:t>
      </w:r>
    </w:p>
    <w:p>
      <w:pPr>
        <w:spacing w:line="360" w:lineRule="auto" w:after="0"/>
      </w:pPr>
      <w:r>
        <w:rPr>
          <w:rFonts w:ascii="Arial" w:hAnsi="Arial"/>
          <w:sz w:val="24"/>
        </w:rPr>
        <w:t>1. Implementar os três algoritmos em arquitetura em camadas com padrões profissionais de design de software (Repository, Strategy, Service Layer);</w:t>
      </w:r>
    </w:p>
    <w:p>
      <w:pPr>
        <w:spacing w:line="360" w:lineRule="auto" w:after="0"/>
      </w:pPr>
      <w:r>
        <w:rPr>
          <w:rFonts w:ascii="Arial" w:hAnsi="Arial"/>
          <w:sz w:val="24"/>
        </w:rPr>
        <w:t>2. Disponibilizar interface web funcional para entrada de textos via colagem ou upload, e visualização de resultados comparativos;</w:t>
      </w:r>
    </w:p>
    <w:p>
      <w:pPr>
        <w:spacing w:line="360" w:lineRule="auto" w:after="0"/>
      </w:pPr>
      <w:r>
        <w:rPr>
          <w:rFonts w:ascii="Arial" w:hAnsi="Arial"/>
          <w:sz w:val="24"/>
        </w:rPr>
        <w:t>3. Definir e executar metodologia de avaliação com métricas objetivas baseadas em matriz de confusão (F1-Score, Precision, Recall, Accuracy);</w:t>
      </w:r>
    </w:p>
    <w:p>
      <w:pPr>
        <w:spacing w:line="360" w:lineRule="auto" w:after="0"/>
      </w:pPr>
      <w:r>
        <w:rPr>
          <w:rFonts w:ascii="Arial" w:hAnsi="Arial"/>
          <w:sz w:val="24"/>
        </w:rPr>
        <w:t>4. Criar dataset de 26 pares de textos em português, manualmente rotulados por critério especializado como similares ou dissimilares;</w:t>
      </w:r>
    </w:p>
    <w:p>
      <w:pPr>
        <w:spacing w:line="360" w:lineRule="auto" w:after="0"/>
      </w:pPr>
      <w:r>
        <w:rPr>
          <w:rFonts w:ascii="Arial" w:hAnsi="Arial"/>
          <w:sz w:val="24"/>
        </w:rPr>
        <w:t>5. Comparar sistematicamente o desempenho dos três algoritmos e identificar cenários específicos de vantagem de cada um;</w:t>
      </w:r>
    </w:p>
    <w:p>
      <w:pPr>
        <w:spacing w:line="360" w:lineRule="auto" w:after="0"/>
      </w:pPr>
      <w:r>
        <w:rPr>
          <w:rFonts w:ascii="Arial" w:hAnsi="Arial"/>
          <w:sz w:val="24"/>
        </w:rPr>
        <w:t>6. Documentar conclusões, limitações e recomendações de uso para orientar futuros engenheiros e tomadores de decisão.</w:t>
      </w:r>
    </w:p>
    <w:p>
      <w:pPr>
        <w:spacing w:line="360" w:lineRule="auto" w:before="120" w:after="0"/>
      </w:pPr>
      <w:r>
        <w:rPr>
          <w:rFonts w:ascii="Arial" w:hAnsi="Arial"/>
          <w:b/>
          <w:sz w:val="24"/>
        </w:rPr>
        <w:t>1.5 Estrutura do Trabalho</w:t>
      </w:r>
    </w:p>
    <w:p>
      <w:pPr>
        <w:spacing w:line="360" w:lineRule="auto" w:after="0"/>
        <w:ind w:firstLine="709"/>
      </w:pPr>
      <w:r>
        <w:rPr>
          <w:rFonts w:ascii="Arial" w:hAnsi="Arial"/>
          <w:sz w:val="24"/>
        </w:rPr>
        <w:t>Este trabalho está estruturado em cinco seções, além desta introdução. A seção 2 apresenta o referencial teórico, explorando fundamentos de similaridade textual e os três algoritmos estudados. A seção 3 descreve a metodologia de pesquisa, incluindo classificação, procedimentos e estratégia de avaliação. A seção 4 descreve a implementação do sistema, detalhando a arquitetura e componentes. A seção 5 apresenta e discute os resultados obtidos. A seção 6 traz as considerações finais. Por fim, apresentam-se as referências bibliográficas no padrão ABNT.</w:t>
      </w:r>
    </w:p>
    <w:p>
      <w:r>
        <w:br w:type="page"/>
      </w:r>
    </w:p>
    <w:p>
      <w:pPr>
        <w:spacing w:line="360" w:lineRule="auto" w:before="360" w:after="0"/>
      </w:pPr>
      <w:r>
        <w:rPr>
          <w:rFonts w:ascii="Arial" w:hAnsi="Arial"/>
          <w:b/>
          <w:sz w:val="24"/>
        </w:rPr>
        <w:t>2 REFERENCIAL TEÓRICO</w:t>
      </w:r>
    </w:p>
    <w:p>
      <w:pPr>
        <w:spacing w:line="360" w:lineRule="auto" w:before="120" w:after="0"/>
      </w:pPr>
      <w:r>
        <w:rPr>
          <w:rFonts w:ascii="Arial" w:hAnsi="Arial"/>
          <w:b/>
          <w:sz w:val="24"/>
        </w:rPr>
        <w:t>2.1 Similaridade Textual e Aplicações</w:t>
      </w:r>
    </w:p>
    <w:p>
      <w:pPr>
        <w:spacing w:line="360" w:lineRule="auto" w:before="240" w:after="0"/>
      </w:pPr>
      <w:r>
        <w:rPr>
          <w:rFonts w:ascii="Arial" w:hAnsi="Arial"/>
          <w:b w:val="0"/>
          <w:sz w:val="24"/>
        </w:rPr>
        <w:t>2.1.1 DEFINIÇÃO</w:t>
      </w:r>
    </w:p>
    <w:p>
      <w:pPr>
        <w:spacing w:line="360" w:lineRule="auto" w:after="0"/>
        <w:ind w:firstLine="709"/>
      </w:pPr>
      <w:r>
        <w:rPr>
          <w:rFonts w:ascii="Arial" w:hAnsi="Arial"/>
          <w:sz w:val="24"/>
        </w:rPr>
        <w:t>Similaridade textual é uma medida quantitativa de proximidade ou semelhança entre dois ou mais documentos de texto. Formalmente, dado um espaço de textos T e uma função sim: T × T → [0, 1], a similaridade entre dois textos t1 e t2 é um escalar que representa o grau de semelhança segundo a métrica escolhida (MANNING; SCHÜTZE, 1999).</w:t>
      </w:r>
    </w:p>
    <w:p>
      <w:pPr>
        <w:spacing w:line="360" w:lineRule="auto" w:after="0"/>
        <w:ind w:firstLine="709"/>
      </w:pPr>
      <w:r>
        <w:rPr>
          <w:rFonts w:ascii="Arial" w:hAnsi="Arial"/>
          <w:sz w:val="24"/>
        </w:rPr>
        <w:t>A quantificação objetiva dessa semelhança é essencial para automatização em larga escala. Não se trata apenas de uma ferramenta técnica, mas de um problema cognitivo relevante: como sistemas computacionais podem determinar se dois textos comunicam a mesma ideia ou possuem conteúdo redundante? A resposta varia segundo o contexto e o critério de comparação adotado.</w:t>
      </w:r>
    </w:p>
    <w:p>
      <w:pPr>
        <w:spacing w:line="360" w:lineRule="auto" w:before="240" w:after="0"/>
      </w:pPr>
      <w:r>
        <w:rPr>
          <w:rFonts w:ascii="Arial" w:hAnsi="Arial"/>
          <w:b w:val="0"/>
          <w:sz w:val="24"/>
        </w:rPr>
        <w:t>2.1.2 APLICAÇÕES PRÁTICAS</w:t>
      </w:r>
    </w:p>
    <w:p>
      <w:pPr>
        <w:spacing w:line="360" w:lineRule="auto" w:after="0"/>
        <w:ind w:firstLine="709"/>
      </w:pPr>
      <w:r>
        <w:rPr>
          <w:rFonts w:ascii="Arial" w:hAnsi="Arial"/>
          <w:sz w:val="24"/>
        </w:rPr>
        <w:t>A similaridade textual encontra ampla aplicação em diferentes domínios de atuação. Em sistemas de recuperação de informação, como motores de busca, a similaridade entre a consulta do usuário e os documentos indexados determina o ranqueamento dos resultados (BAEZA-YATES; RIBEIRO-NETO, 2011). Em ambientes acadêmicos e corporativos, ferramentas de detecção de plágio baseadas em similaridade textual identificam possíveis cópias não autorizadas de conteúdo intelectual.</w:t>
      </w:r>
    </w:p>
    <w:p>
      <w:pPr>
        <w:spacing w:line="240" w:lineRule="auto" w:after="40"/>
      </w:pPr>
      <w:r>
        <w:rPr>
          <w:rFonts w:ascii="Arial" w:hAnsi="Arial"/>
          <w:b/>
          <w:sz w:val="20"/>
        </w:rPr>
        <w:t>Quadro 1 – Aplicações de similaridade textual por domínio</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rFonts w:ascii="Arial" w:hAnsi="Arial"/>
                <w:b/>
                <w:sz w:val="20"/>
              </w:rPr>
              <w:t>Aplicação</w:t>
            </w:r>
          </w:p>
        </w:tc>
        <w:tc>
          <w:tcPr>
            <w:tcW w:type="dxa" w:w="3135"/>
          </w:tcPr>
          <w:p>
            <w:r>
              <w:rPr>
                <w:rFonts w:ascii="Arial" w:hAnsi="Arial"/>
                <w:b/>
                <w:sz w:val="20"/>
              </w:rPr>
              <w:t>Contexto</w:t>
            </w:r>
          </w:p>
        </w:tc>
        <w:tc>
          <w:tcPr>
            <w:tcW w:type="dxa" w:w="3135"/>
          </w:tcPr>
          <w:p>
            <w:r>
              <w:rPr>
                <w:rFonts w:ascii="Arial" w:hAnsi="Arial"/>
                <w:b/>
                <w:sz w:val="20"/>
              </w:rPr>
              <w:t>Característica Exigida</w:t>
            </w:r>
          </w:p>
        </w:tc>
      </w:tr>
      <w:tr>
        <w:tc>
          <w:tcPr>
            <w:tcW w:type="dxa" w:w="3135"/>
          </w:tcPr>
          <w:p>
            <w:r>
              <w:rPr>
                <w:rFonts w:ascii="Arial" w:hAnsi="Arial"/>
                <w:sz w:val="20"/>
              </w:rPr>
              <w:t>Detecção de Plágio</w:t>
            </w:r>
          </w:p>
        </w:tc>
        <w:tc>
          <w:tcPr>
            <w:tcW w:type="dxa" w:w="3135"/>
          </w:tcPr>
          <w:p>
            <w:r>
              <w:rPr>
                <w:rFonts w:ascii="Arial" w:hAnsi="Arial"/>
                <w:sz w:val="20"/>
              </w:rPr>
              <w:t>Acadêmico/Corporativo</w:t>
            </w:r>
          </w:p>
        </w:tc>
        <w:tc>
          <w:tcPr>
            <w:tcW w:type="dxa" w:w="3135"/>
          </w:tcPr>
          <w:p>
            <w:r>
              <w:rPr>
                <w:rFonts w:ascii="Arial" w:hAnsi="Arial"/>
                <w:sz w:val="20"/>
              </w:rPr>
              <w:t>Alta Precisão Semântica</w:t>
            </w:r>
          </w:p>
        </w:tc>
      </w:tr>
      <w:tr>
        <w:tc>
          <w:tcPr>
            <w:tcW w:type="dxa" w:w="3135"/>
          </w:tcPr>
          <w:p>
            <w:r>
              <w:rPr>
                <w:rFonts w:ascii="Arial" w:hAnsi="Arial"/>
                <w:sz w:val="20"/>
              </w:rPr>
              <w:t>Recuperação de Informação</w:t>
            </w:r>
          </w:p>
        </w:tc>
        <w:tc>
          <w:tcPr>
            <w:tcW w:type="dxa" w:w="3135"/>
          </w:tcPr>
          <w:p>
            <w:r>
              <w:rPr>
                <w:rFonts w:ascii="Arial" w:hAnsi="Arial"/>
                <w:sz w:val="20"/>
              </w:rPr>
              <w:t>Motores de Busca</w:t>
            </w:r>
          </w:p>
        </w:tc>
        <w:tc>
          <w:tcPr>
            <w:tcW w:type="dxa" w:w="3135"/>
          </w:tcPr>
          <w:p>
            <w:r>
              <w:rPr>
                <w:rFonts w:ascii="Arial" w:hAnsi="Arial"/>
                <w:sz w:val="20"/>
              </w:rPr>
              <w:t>Eficiência + Relevância</w:t>
            </w:r>
          </w:p>
        </w:tc>
      </w:tr>
      <w:tr>
        <w:tc>
          <w:tcPr>
            <w:tcW w:type="dxa" w:w="3135"/>
          </w:tcPr>
          <w:p>
            <w:r>
              <w:rPr>
                <w:rFonts w:ascii="Arial" w:hAnsi="Arial"/>
                <w:sz w:val="20"/>
              </w:rPr>
              <w:t>Deduplicação de Dados</w:t>
            </w:r>
          </w:p>
        </w:tc>
        <w:tc>
          <w:tcPr>
            <w:tcW w:type="dxa" w:w="3135"/>
          </w:tcPr>
          <w:p>
            <w:r>
              <w:rPr>
                <w:rFonts w:ascii="Arial" w:hAnsi="Arial"/>
                <w:sz w:val="20"/>
              </w:rPr>
              <w:t>Armazenamento</w:t>
            </w:r>
          </w:p>
        </w:tc>
        <w:tc>
          <w:tcPr>
            <w:tcW w:type="dxa" w:w="3135"/>
          </w:tcPr>
          <w:p>
            <w:r>
              <w:rPr>
                <w:rFonts w:ascii="Arial" w:hAnsi="Arial"/>
                <w:sz w:val="20"/>
              </w:rPr>
              <w:t>Velocidade + Determinismo</w:t>
            </w:r>
          </w:p>
        </w:tc>
      </w:tr>
      <w:tr>
        <w:tc>
          <w:tcPr>
            <w:tcW w:type="dxa" w:w="3135"/>
          </w:tcPr>
          <w:p>
            <w:r>
              <w:rPr>
                <w:rFonts w:ascii="Arial" w:hAnsi="Arial"/>
                <w:sz w:val="20"/>
              </w:rPr>
              <w:t>Análise de Reviews</w:t>
            </w:r>
          </w:p>
        </w:tc>
        <w:tc>
          <w:tcPr>
            <w:tcW w:type="dxa" w:w="3135"/>
          </w:tcPr>
          <w:p>
            <w:r>
              <w:rPr>
                <w:rFonts w:ascii="Arial" w:hAnsi="Arial"/>
                <w:sz w:val="20"/>
              </w:rPr>
              <w:t>E-commerce</w:t>
            </w:r>
          </w:p>
        </w:tc>
        <w:tc>
          <w:tcPr>
            <w:tcW w:type="dxa" w:w="3135"/>
          </w:tcPr>
          <w:p>
            <w:r>
              <w:rPr>
                <w:rFonts w:ascii="Arial" w:hAnsi="Arial"/>
                <w:sz w:val="20"/>
              </w:rPr>
              <w:t>Robustez a Variações</w:t>
            </w:r>
          </w:p>
        </w:tc>
      </w:tr>
      <w:tr>
        <w:tc>
          <w:tcPr>
            <w:tcW w:type="dxa" w:w="3135"/>
          </w:tcPr>
          <w:p>
            <w:r>
              <w:rPr>
                <w:rFonts w:ascii="Arial" w:hAnsi="Arial"/>
                <w:sz w:val="20"/>
              </w:rPr>
              <w:t>Recomendação de Conteúdo</w:t>
            </w:r>
          </w:p>
        </w:tc>
        <w:tc>
          <w:tcPr>
            <w:tcW w:type="dxa" w:w="3135"/>
          </w:tcPr>
          <w:p>
            <w:r>
              <w:rPr>
                <w:rFonts w:ascii="Arial" w:hAnsi="Arial"/>
                <w:sz w:val="20"/>
              </w:rPr>
              <w:t>Plataformas de Mídia</w:t>
            </w:r>
          </w:p>
        </w:tc>
        <w:tc>
          <w:tcPr>
            <w:tcW w:type="dxa" w:w="3135"/>
          </w:tcPr>
          <w:p>
            <w:r>
              <w:rPr>
                <w:rFonts w:ascii="Arial" w:hAnsi="Arial"/>
                <w:sz w:val="20"/>
              </w:rPr>
              <w:t>Similaridade Semântica</w:t>
            </w:r>
          </w:p>
        </w:tc>
      </w:tr>
    </w:tbl>
    <w:p>
      <w:pPr>
        <w:spacing w:line="240" w:lineRule="auto" w:after="120"/>
      </w:pPr>
      <w:r>
        <w:rPr>
          <w:rFonts w:ascii="Arial" w:hAnsi="Arial"/>
          <w:sz w:val="20"/>
        </w:rPr>
        <w:t>Fonte: Autoria própria (2026).</w:t>
      </w:r>
    </w:p>
    <w:p>
      <w:pPr>
        <w:spacing w:line="360" w:lineRule="auto" w:before="120" w:after="0"/>
      </w:pPr>
      <w:r>
        <w:rPr>
          <w:rFonts w:ascii="Arial" w:hAnsi="Arial"/>
          <w:b/>
          <w:sz w:val="24"/>
        </w:rPr>
        <w:t>2.2 TF-IDF e Similaridade de Cosseno</w:t>
      </w:r>
    </w:p>
    <w:p>
      <w:pPr>
        <w:spacing w:line="360" w:lineRule="auto" w:before="240" w:after="0"/>
      </w:pPr>
      <w:r>
        <w:rPr>
          <w:rFonts w:ascii="Arial" w:hAnsi="Arial"/>
          <w:b w:val="0"/>
          <w:sz w:val="24"/>
        </w:rPr>
        <w:t>2.2.1 CONCEITO FUNDAMENTAL</w:t>
      </w:r>
    </w:p>
    <w:p>
      <w:pPr>
        <w:spacing w:line="360" w:lineRule="auto" w:after="0"/>
        <w:ind w:firstLine="709"/>
      </w:pPr>
      <w:r>
        <w:rPr>
          <w:rFonts w:ascii="Arial" w:hAnsi="Arial"/>
          <w:sz w:val="24"/>
        </w:rPr>
        <w:t>TF-IDF, acrônimo de Term Frequency–Inverse Document Frequency, é uma estatística numérica que reflete a importância de uma palavra para um documento em uma coleção. A intuição é que palavras frequentes em um único documento, mas raras globalmente, são mais representativas daquele documento. O modelo foi proposto por Salton e McGill (1983) e tornou-se referência em recuperação de informação.</w:t>
      </w:r>
    </w:p>
    <w:p>
      <w:pPr>
        <w:spacing w:line="360" w:lineRule="auto" w:before="240" w:after="0"/>
      </w:pPr>
      <w:r>
        <w:rPr>
          <w:rFonts w:ascii="Arial" w:hAnsi="Arial"/>
          <w:b w:val="0"/>
          <w:sz w:val="24"/>
        </w:rPr>
        <w:t>2.2.2 FORMULAÇÃO MATEMÁTICA</w:t>
      </w:r>
    </w:p>
    <w:p>
      <w:pPr>
        <w:spacing w:line="360" w:lineRule="auto" w:after="0"/>
      </w:pPr>
      <w:r>
        <w:rPr>
          <w:rFonts w:ascii="Arial" w:hAnsi="Arial"/>
          <w:sz w:val="24"/>
        </w:rPr>
        <w:t>A frequência do termo (TF) é calculada por:</w:t>
      </w:r>
    </w:p>
    <w:p>
      <w:pPr>
        <w:spacing w:line="360" w:lineRule="auto" w:after="0"/>
        <w:jc w:val="center"/>
      </w:pPr>
      <w:r>
        <w:rPr>
          <w:rFonts w:ascii="Arial" w:hAnsi="Arial"/>
          <w:i/>
          <w:sz w:val="22"/>
        </w:rPr>
        <w:t>TF(t, d) = count(t, d) / total de palavras em d</w:t>
      </w:r>
    </w:p>
    <w:p>
      <w:pPr>
        <w:spacing w:line="360" w:lineRule="auto" w:after="0"/>
      </w:pPr>
      <w:r>
        <w:rPr>
          <w:rFonts w:ascii="Arial" w:hAnsi="Arial"/>
          <w:sz w:val="24"/>
        </w:rPr>
        <w:t>A frequência inversa de documentos (IDF) é calculada por:</w:t>
      </w:r>
    </w:p>
    <w:p>
      <w:pPr>
        <w:spacing w:line="360" w:lineRule="auto" w:after="0"/>
        <w:jc w:val="center"/>
      </w:pPr>
      <w:r>
        <w:rPr>
          <w:rFonts w:ascii="Arial" w:hAnsi="Arial"/>
          <w:i/>
          <w:sz w:val="22"/>
        </w:rPr>
        <w:t>IDF(t, D) = log( |D| / |{d ∈ D : t ∈ d}| )</w:t>
      </w:r>
    </w:p>
    <w:p>
      <w:pPr>
        <w:spacing w:line="360" w:lineRule="auto" w:after="0"/>
      </w:pPr>
      <w:r>
        <w:rPr>
          <w:rFonts w:ascii="Arial" w:hAnsi="Arial"/>
          <w:sz w:val="24"/>
        </w:rPr>
        <w:t>O peso TF-IDF combinado é:</w:t>
      </w:r>
    </w:p>
    <w:p>
      <w:pPr>
        <w:spacing w:line="360" w:lineRule="auto" w:after="0"/>
        <w:jc w:val="center"/>
      </w:pPr>
      <w:r>
        <w:rPr>
          <w:rFonts w:ascii="Arial" w:hAnsi="Arial"/>
          <w:i/>
          <w:sz w:val="22"/>
        </w:rPr>
        <w:t>TF-IDF(t, d, D) = TF(t, d) × IDF(t, D)</w:t>
      </w:r>
    </w:p>
    <w:p>
      <w:pPr>
        <w:spacing w:line="360" w:lineRule="auto" w:after="0"/>
        <w:ind w:firstLine="709"/>
      </w:pPr>
      <w:r>
        <w:rPr>
          <w:rFonts w:ascii="Arial" w:hAnsi="Arial"/>
          <w:sz w:val="24"/>
        </w:rPr>
        <w:t>Cada documento é então representado como vetor de pesos TF-IDF, e a similaridade entre dois documentos é computada via Similaridade de Cosseno:</w:t>
      </w:r>
    </w:p>
    <w:p>
      <w:pPr>
        <w:spacing w:line="360" w:lineRule="auto" w:after="0"/>
        <w:jc w:val="center"/>
      </w:pPr>
      <w:r>
        <w:rPr>
          <w:rFonts w:ascii="Arial" w:hAnsi="Arial"/>
          <w:i/>
          <w:sz w:val="22"/>
        </w:rPr>
        <w:t>cosine_sim(d1, d2) = (v1 · v2) / (|v1| × |v2|)</w:t>
      </w:r>
    </w:p>
    <w:p>
      <w:pPr>
        <w:spacing w:line="360" w:lineRule="auto" w:after="0"/>
        <w:ind w:firstLine="709"/>
      </w:pPr>
      <w:r>
        <w:rPr>
          <w:rFonts w:ascii="Arial" w:hAnsi="Arial"/>
          <w:sz w:val="24"/>
        </w:rPr>
        <w:t>O resultado é um escalar em [0, 1], onde 1 indica identidade perfeita. Esta abordagem é robusta a documentos de comprimentos diferentes e é amplamente adotada em sistemas de busca (MANNING; SCHÜTZE, 1999).</w:t>
      </w:r>
    </w:p>
    <w:p>
      <w:pPr>
        <w:spacing w:line="360" w:lineRule="auto" w:before="120" w:after="0"/>
      </w:pPr>
      <w:r>
        <w:rPr>
          <w:rFonts w:ascii="Arial" w:hAnsi="Arial"/>
          <w:b/>
          <w:sz w:val="24"/>
        </w:rPr>
        <w:t>2.3 Coeficiente de Jaccard</w:t>
      </w:r>
    </w:p>
    <w:p>
      <w:pPr>
        <w:spacing w:line="360" w:lineRule="auto" w:before="240" w:after="0"/>
      </w:pPr>
      <w:r>
        <w:rPr>
          <w:rFonts w:ascii="Arial" w:hAnsi="Arial"/>
          <w:b w:val="0"/>
          <w:sz w:val="24"/>
        </w:rPr>
        <w:t>2.3.1 DEFINIÇÃO</w:t>
      </w:r>
    </w:p>
    <w:p>
      <w:pPr>
        <w:spacing w:line="360" w:lineRule="auto" w:after="0"/>
        <w:ind w:firstLine="709"/>
      </w:pPr>
      <w:r>
        <w:rPr>
          <w:rFonts w:ascii="Arial" w:hAnsi="Arial"/>
          <w:sz w:val="24"/>
        </w:rPr>
        <w:t>O coeficiente de Jaccard, introduzido por Jaccard (1912), é uma medida baseada em teoria dos conjuntos que calcula a razão entre a interseção e a união de dois conjuntos. Aplicado a textos, os conjuntos correspondem aos tokens únicos de cada documento:</w:t>
      </w:r>
    </w:p>
    <w:p>
      <w:pPr>
        <w:spacing w:line="360" w:lineRule="auto" w:after="0"/>
        <w:jc w:val="center"/>
      </w:pPr>
      <w:r>
        <w:rPr>
          <w:rFonts w:ascii="Arial" w:hAnsi="Arial"/>
          <w:i/>
          <w:sz w:val="22"/>
        </w:rPr>
        <w:t>J(A, B) = |A ∩ B| / |A ∪ B|  =  |A ∩ B| / (|A| + |B| - |A ∩ B|)</w:t>
      </w:r>
    </w:p>
    <w:p>
      <w:pPr>
        <w:spacing w:line="360" w:lineRule="auto" w:after="0"/>
        <w:ind w:firstLine="709"/>
      </w:pPr>
      <w:r>
        <w:rPr>
          <w:rFonts w:ascii="Arial" w:hAnsi="Arial"/>
          <w:sz w:val="24"/>
        </w:rPr>
        <w:t>O resultado varia de 0 (conjuntos completamente disjuntos) a 1 (conjuntos idênticos). A simplicidade da fórmula confere ao Jaccard características de determinismo, eficiência computacional e facilidade de interpretação (HUANG, 2008).</w:t>
      </w:r>
    </w:p>
    <w:p>
      <w:pPr>
        <w:spacing w:line="360" w:lineRule="auto" w:before="120" w:after="0"/>
      </w:pPr>
      <w:r>
        <w:rPr>
          <w:rFonts w:ascii="Arial" w:hAnsi="Arial"/>
          <w:b/>
          <w:sz w:val="24"/>
        </w:rPr>
        <w:t>2.4 Distância de Levenshtein</w:t>
      </w:r>
    </w:p>
    <w:p>
      <w:pPr>
        <w:spacing w:line="360" w:lineRule="auto" w:before="240" w:after="0"/>
      </w:pPr>
      <w:r>
        <w:rPr>
          <w:rFonts w:ascii="Arial" w:hAnsi="Arial"/>
          <w:b w:val="0"/>
          <w:sz w:val="24"/>
        </w:rPr>
        <w:t>2.4.1 DEFINIÇÃO</w:t>
      </w:r>
    </w:p>
    <w:p>
      <w:pPr>
        <w:spacing w:line="360" w:lineRule="auto" w:after="0"/>
        <w:ind w:firstLine="709"/>
      </w:pPr>
      <w:r>
        <w:rPr>
          <w:rFonts w:ascii="Arial" w:hAnsi="Arial"/>
          <w:sz w:val="24"/>
        </w:rPr>
        <w:t>A distância de Levenshtein, proposta por Levenshtein (1966), quantifica o número mínimo de operações de edição de um único caractere — inserção, deleção ou substituição — necessárias para transformar uma string em outra. É implementada eficientemente via programação dinâmica em complexidade O(m × n), onde m e n são os comprimentos das strings.</w:t>
      </w:r>
    </w:p>
    <w:p>
      <w:pPr>
        <w:spacing w:line="360" w:lineRule="auto" w:after="0"/>
        <w:ind w:firstLine="709"/>
      </w:pPr>
      <w:r>
        <w:rPr>
          <w:rFonts w:ascii="Arial" w:hAnsi="Arial"/>
          <w:sz w:val="24"/>
        </w:rPr>
        <w:t>A normalização para escala [0, 1] é realizada por:</w:t>
      </w:r>
    </w:p>
    <w:p>
      <w:pPr>
        <w:spacing w:line="360" w:lineRule="auto" w:after="0"/>
        <w:jc w:val="center"/>
      </w:pPr>
      <w:r>
        <w:rPr>
          <w:rFonts w:ascii="Arial" w:hAnsi="Arial"/>
          <w:i/>
          <w:sz w:val="22"/>
        </w:rPr>
        <w:t>sim_levenshtein(s1, s2) = 1 - distance(s1, s2) / max(|s1|, |s2|)</w:t>
      </w:r>
    </w:p>
    <w:p>
      <w:pPr>
        <w:spacing w:line="360" w:lineRule="auto" w:after="0"/>
        <w:ind w:firstLine="709"/>
      </w:pPr>
      <w:r>
        <w:rPr>
          <w:rFonts w:ascii="Arial" w:hAnsi="Arial"/>
          <w:sz w:val="24"/>
        </w:rPr>
        <w:t>Essa normalização permite comparações justas entre strings de comprimentos diferentes e retorna um valor de similaridade diretamente interpretável. O algoritmo é particularmente eficaz na detecção de erros tipográficos e variações de grafia (RISTAD; YIANILOS, 1998).</w:t>
      </w:r>
    </w:p>
    <w:p>
      <w:pPr>
        <w:spacing w:line="360" w:lineRule="auto" w:before="120" w:after="0"/>
      </w:pPr>
      <w:r>
        <w:rPr>
          <w:rFonts w:ascii="Arial" w:hAnsi="Arial"/>
          <w:b/>
          <w:sz w:val="24"/>
        </w:rPr>
        <w:t>2.5 Processamento de Linguagem Natural</w:t>
      </w:r>
    </w:p>
    <w:p>
      <w:pPr>
        <w:spacing w:line="360" w:lineRule="auto" w:after="0"/>
        <w:ind w:firstLine="709"/>
      </w:pPr>
      <w:r>
        <w:rPr>
          <w:rFonts w:ascii="Arial" w:hAnsi="Arial"/>
          <w:sz w:val="24"/>
        </w:rPr>
        <w:t>O pré-processamento textual é etapa determinante que afeta diretamente a qualidade dos resultados de similaridade. As técnicas aplicadas neste trabalho compreendem: tokenização (divisão em palavras), conversão para minúsculas, remoção de pontuação, remoção de stopwords — palavras frequentes com pouco valor semântico, como artigos e preposições (WILBUR; SIROTKIN, 1992) — e normalização morfológica via stemming ou lematização (PORTER, 1980). Esse pipeline é aplicado uniformemente aos três algoritmos para garantir comparabilidade dos resultados.</w:t>
      </w:r>
    </w:p>
    <w:p>
      <w:r>
        <w:br w:type="page"/>
      </w:r>
    </w:p>
    <w:p>
      <w:pPr>
        <w:spacing w:line="360" w:lineRule="auto" w:before="360" w:after="0"/>
      </w:pPr>
      <w:r>
        <w:rPr>
          <w:rFonts w:ascii="Arial" w:hAnsi="Arial"/>
          <w:b/>
          <w:sz w:val="24"/>
        </w:rPr>
        <w:t>3 METODOLOGIA</w:t>
      </w:r>
    </w:p>
    <w:p>
      <w:pPr>
        <w:spacing w:line="360" w:lineRule="auto" w:before="120" w:after="0"/>
      </w:pPr>
      <w:r>
        <w:rPr>
          <w:rFonts w:ascii="Arial" w:hAnsi="Arial"/>
          <w:b/>
          <w:sz w:val="24"/>
        </w:rPr>
        <w:t>3.1 Classificação da Pesquisa</w:t>
      </w:r>
    </w:p>
    <w:p>
      <w:pPr>
        <w:spacing w:line="360" w:lineRule="auto" w:after="0"/>
        <w:ind w:firstLine="709"/>
      </w:pPr>
      <w:r>
        <w:rPr>
          <w:rFonts w:ascii="Arial" w:hAnsi="Arial"/>
          <w:sz w:val="24"/>
        </w:rPr>
        <w:t>Esta pesquisa é classificada como: aplicada, quanto à natureza, pois gera conhecimento para solução de problema específico; quantitativa, quanto à abordagem, pois emprega métricas objetivas; descritiva e comparativa, quanto aos objetivos, pois descreve e compara o desempenho dos algoritmos; experimental, quanto ao procedimento técnico, mediante implementação de sistema funcional e avaliação controlada com dataset rotulado (GIL, 2010).</w:t>
      </w:r>
    </w:p>
    <w:p>
      <w:pPr>
        <w:spacing w:line="360" w:lineRule="auto" w:before="120" w:after="0"/>
      </w:pPr>
      <w:r>
        <w:rPr>
          <w:rFonts w:ascii="Arial" w:hAnsi="Arial"/>
          <w:b/>
          <w:sz w:val="24"/>
        </w:rPr>
        <w:t>3.2 Desenvolvimento do Sistema</w:t>
      </w:r>
    </w:p>
    <w:p>
      <w:pPr>
        <w:spacing w:line="360" w:lineRule="auto" w:after="0"/>
        <w:ind w:firstLine="709"/>
      </w:pPr>
      <w:r>
        <w:rPr>
          <w:rFonts w:ascii="Arial" w:hAnsi="Arial"/>
          <w:sz w:val="24"/>
        </w:rPr>
        <w:t>O sistema foi desenvolvido seguindo os princípios de separação de responsabilidades e testabilidade. A escolha do Python com Flask decorreu da disponibilidade de bibliotecas NLP consolidadas, da simplicidade para prototipagem de APIs REST e da ampla adoção na comunidade científica. Os padrões de design Repository, Strategy e Service Layer foram aplicados para garantir modularidade e facilidade de extensão.</w:t>
      </w:r>
    </w:p>
    <w:p>
      <w:pPr>
        <w:spacing w:line="240" w:lineRule="auto" w:after="40"/>
      </w:pPr>
      <w:r>
        <w:rPr>
          <w:rFonts w:ascii="Arial" w:hAnsi="Arial"/>
          <w:b/>
          <w:sz w:val="20"/>
        </w:rPr>
        <w:t>Quadro 2 – Tecnologias utilizadas no sistema</w:t>
      </w:r>
    </w:p>
    <w:tbl>
      <w:tblPr>
        <w:tblStyle w:val="LightList-Accent1"/>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20"/>
              </w:rPr>
              <w:t>Componente</w:t>
            </w:r>
          </w:p>
        </w:tc>
        <w:tc>
          <w:tcPr>
            <w:tcW w:type="dxa" w:w="2351"/>
          </w:tcPr>
          <w:p>
            <w:r>
              <w:rPr>
                <w:rFonts w:ascii="Arial" w:hAnsi="Arial"/>
                <w:b/>
                <w:sz w:val="20"/>
              </w:rPr>
              <w:t>Tecnologia</w:t>
            </w:r>
          </w:p>
        </w:tc>
        <w:tc>
          <w:tcPr>
            <w:tcW w:type="dxa" w:w="2351"/>
          </w:tcPr>
          <w:p>
            <w:r>
              <w:rPr>
                <w:rFonts w:ascii="Arial" w:hAnsi="Arial"/>
                <w:b/>
                <w:sz w:val="20"/>
              </w:rPr>
              <w:t>Versão</w:t>
            </w:r>
          </w:p>
        </w:tc>
        <w:tc>
          <w:tcPr>
            <w:tcW w:type="dxa" w:w="2351"/>
          </w:tcPr>
          <w:p>
            <w:r>
              <w:rPr>
                <w:rFonts w:ascii="Arial" w:hAnsi="Arial"/>
                <w:b/>
                <w:sz w:val="20"/>
              </w:rPr>
              <w:t>Justificativa</w:t>
            </w:r>
          </w:p>
        </w:tc>
      </w:tr>
      <w:tr>
        <w:tc>
          <w:tcPr>
            <w:tcW w:type="dxa" w:w="2351"/>
          </w:tcPr>
          <w:p>
            <w:r>
              <w:rPr>
                <w:rFonts w:ascii="Arial" w:hAnsi="Arial"/>
                <w:sz w:val="20"/>
              </w:rPr>
              <w:t>Backend</w:t>
            </w:r>
          </w:p>
        </w:tc>
        <w:tc>
          <w:tcPr>
            <w:tcW w:type="dxa" w:w="2351"/>
          </w:tcPr>
          <w:p>
            <w:r>
              <w:rPr>
                <w:rFonts w:ascii="Arial" w:hAnsi="Arial"/>
                <w:sz w:val="20"/>
              </w:rPr>
              <w:t>Python</w:t>
            </w:r>
          </w:p>
        </w:tc>
        <w:tc>
          <w:tcPr>
            <w:tcW w:type="dxa" w:w="2351"/>
          </w:tcPr>
          <w:p>
            <w:r>
              <w:rPr>
                <w:rFonts w:ascii="Arial" w:hAnsi="Arial"/>
                <w:sz w:val="20"/>
              </w:rPr>
              <w:t>3.x</w:t>
            </w:r>
          </w:p>
        </w:tc>
        <w:tc>
          <w:tcPr>
            <w:tcW w:type="dxa" w:w="2351"/>
          </w:tcPr>
          <w:p>
            <w:r>
              <w:rPr>
                <w:rFonts w:ascii="Arial" w:hAnsi="Arial"/>
                <w:sz w:val="20"/>
              </w:rPr>
              <w:t>Bibliotecas NLP robustas</w:t>
            </w:r>
          </w:p>
        </w:tc>
      </w:tr>
      <w:tr>
        <w:tc>
          <w:tcPr>
            <w:tcW w:type="dxa" w:w="2351"/>
          </w:tcPr>
          <w:p>
            <w:r>
              <w:rPr>
                <w:rFonts w:ascii="Arial" w:hAnsi="Arial"/>
                <w:sz w:val="20"/>
              </w:rPr>
              <w:t>Framework Web</w:t>
            </w:r>
          </w:p>
        </w:tc>
        <w:tc>
          <w:tcPr>
            <w:tcW w:type="dxa" w:w="2351"/>
          </w:tcPr>
          <w:p>
            <w:r>
              <w:rPr>
                <w:rFonts w:ascii="Arial" w:hAnsi="Arial"/>
                <w:sz w:val="20"/>
              </w:rPr>
              <w:t>Flask</w:t>
            </w:r>
          </w:p>
        </w:tc>
        <w:tc>
          <w:tcPr>
            <w:tcW w:type="dxa" w:w="2351"/>
          </w:tcPr>
          <w:p>
            <w:r>
              <w:rPr>
                <w:rFonts w:ascii="Arial" w:hAnsi="Arial"/>
                <w:sz w:val="20"/>
              </w:rPr>
              <w:t>2.x</w:t>
            </w:r>
          </w:p>
        </w:tc>
        <w:tc>
          <w:tcPr>
            <w:tcW w:type="dxa" w:w="2351"/>
          </w:tcPr>
          <w:p>
            <w:r>
              <w:rPr>
                <w:rFonts w:ascii="Arial" w:hAnsi="Arial"/>
                <w:sz w:val="20"/>
              </w:rPr>
              <w:t>Leve, ideal para APIs REST</w:t>
            </w:r>
          </w:p>
        </w:tc>
      </w:tr>
      <w:tr>
        <w:tc>
          <w:tcPr>
            <w:tcW w:type="dxa" w:w="2351"/>
          </w:tcPr>
          <w:p>
            <w:r>
              <w:rPr>
                <w:rFonts w:ascii="Arial" w:hAnsi="Arial"/>
                <w:sz w:val="20"/>
              </w:rPr>
              <w:t>Banco de Dados</w:t>
            </w:r>
          </w:p>
        </w:tc>
        <w:tc>
          <w:tcPr>
            <w:tcW w:type="dxa" w:w="2351"/>
          </w:tcPr>
          <w:p>
            <w:r>
              <w:rPr>
                <w:rFonts w:ascii="Arial" w:hAnsi="Arial"/>
                <w:sz w:val="20"/>
              </w:rPr>
              <w:t>SQLite</w:t>
            </w:r>
          </w:p>
        </w:tc>
        <w:tc>
          <w:tcPr>
            <w:tcW w:type="dxa" w:w="2351"/>
          </w:tcPr>
          <w:p>
            <w:r>
              <w:rPr>
                <w:rFonts w:ascii="Arial" w:hAnsi="Arial"/>
                <w:sz w:val="20"/>
              </w:rPr>
              <w:t>3.x</w:t>
            </w:r>
          </w:p>
        </w:tc>
        <w:tc>
          <w:tcPr>
            <w:tcW w:type="dxa" w:w="2351"/>
          </w:tcPr>
          <w:p>
            <w:r>
              <w:rPr>
                <w:rFonts w:ascii="Arial" w:hAnsi="Arial"/>
                <w:sz w:val="20"/>
              </w:rPr>
              <w:t>Sem dependência externa</w:t>
            </w:r>
          </w:p>
        </w:tc>
      </w:tr>
      <w:tr>
        <w:tc>
          <w:tcPr>
            <w:tcW w:type="dxa" w:w="2351"/>
          </w:tcPr>
          <w:p>
            <w:r>
              <w:rPr>
                <w:rFonts w:ascii="Arial" w:hAnsi="Arial"/>
                <w:sz w:val="20"/>
              </w:rPr>
              <w:t>Frontend</w:t>
            </w:r>
          </w:p>
        </w:tc>
        <w:tc>
          <w:tcPr>
            <w:tcW w:type="dxa" w:w="2351"/>
          </w:tcPr>
          <w:p>
            <w:r>
              <w:rPr>
                <w:rFonts w:ascii="Arial" w:hAnsi="Arial"/>
                <w:sz w:val="20"/>
              </w:rPr>
              <w:t>HTML/CSS/JS</w:t>
            </w:r>
          </w:p>
        </w:tc>
        <w:tc>
          <w:tcPr>
            <w:tcW w:type="dxa" w:w="2351"/>
          </w:tcPr>
          <w:p>
            <w:r>
              <w:rPr>
                <w:rFonts w:ascii="Arial" w:hAnsi="Arial"/>
                <w:sz w:val="20"/>
              </w:rPr>
              <w:t>Vanilla</w:t>
            </w:r>
          </w:p>
        </w:tc>
        <w:tc>
          <w:tcPr>
            <w:tcW w:type="dxa" w:w="2351"/>
          </w:tcPr>
          <w:p>
            <w:r>
              <w:rPr>
                <w:rFonts w:ascii="Arial" w:hAnsi="Arial"/>
                <w:sz w:val="20"/>
              </w:rPr>
              <w:t>Sem dependências de build</w:t>
            </w:r>
          </w:p>
        </w:tc>
      </w:tr>
      <w:tr>
        <w:tc>
          <w:tcPr>
            <w:tcW w:type="dxa" w:w="2351"/>
          </w:tcPr>
          <w:p>
            <w:r>
              <w:rPr>
                <w:rFonts w:ascii="Arial" w:hAnsi="Arial"/>
                <w:sz w:val="20"/>
              </w:rPr>
              <w:t>NLP</w:t>
            </w:r>
          </w:p>
        </w:tc>
        <w:tc>
          <w:tcPr>
            <w:tcW w:type="dxa" w:w="2351"/>
          </w:tcPr>
          <w:p>
            <w:r>
              <w:rPr>
                <w:rFonts w:ascii="Arial" w:hAnsi="Arial"/>
                <w:sz w:val="20"/>
              </w:rPr>
              <w:t>NLTK</w:t>
            </w:r>
          </w:p>
        </w:tc>
        <w:tc>
          <w:tcPr>
            <w:tcW w:type="dxa" w:w="2351"/>
          </w:tcPr>
          <w:p>
            <w:r>
              <w:rPr>
                <w:rFonts w:ascii="Arial" w:hAnsi="Arial"/>
                <w:sz w:val="20"/>
              </w:rPr>
              <w:t>3.x</w:t>
            </w:r>
          </w:p>
        </w:tc>
        <w:tc>
          <w:tcPr>
            <w:tcW w:type="dxa" w:w="2351"/>
          </w:tcPr>
          <w:p>
            <w:r>
              <w:rPr>
                <w:rFonts w:ascii="Arial" w:hAnsi="Arial"/>
                <w:sz w:val="20"/>
              </w:rPr>
              <w:t>Stopwords, stemming</w:t>
            </w:r>
          </w:p>
        </w:tc>
      </w:tr>
      <w:tr>
        <w:tc>
          <w:tcPr>
            <w:tcW w:type="dxa" w:w="2351"/>
          </w:tcPr>
          <w:p>
            <w:r>
              <w:rPr>
                <w:rFonts w:ascii="Arial" w:hAnsi="Arial"/>
                <w:sz w:val="20"/>
              </w:rPr>
              <w:t>Testes</w:t>
            </w:r>
          </w:p>
        </w:tc>
        <w:tc>
          <w:tcPr>
            <w:tcW w:type="dxa" w:w="2351"/>
          </w:tcPr>
          <w:p>
            <w:r>
              <w:rPr>
                <w:rFonts w:ascii="Arial" w:hAnsi="Arial"/>
                <w:sz w:val="20"/>
              </w:rPr>
              <w:t>Pytest</w:t>
            </w:r>
          </w:p>
        </w:tc>
        <w:tc>
          <w:tcPr>
            <w:tcW w:type="dxa" w:w="2351"/>
          </w:tcPr>
          <w:p>
            <w:r>
              <w:rPr>
                <w:rFonts w:ascii="Arial" w:hAnsi="Arial"/>
                <w:sz w:val="20"/>
              </w:rPr>
              <w:t>7.x</w:t>
            </w:r>
          </w:p>
        </w:tc>
        <w:tc>
          <w:tcPr>
            <w:tcW w:type="dxa" w:w="2351"/>
          </w:tcPr>
          <w:p>
            <w:r>
              <w:rPr>
                <w:rFonts w:ascii="Arial" w:hAnsi="Arial"/>
                <w:sz w:val="20"/>
              </w:rPr>
              <w:t>Cobertura automatizada</w:t>
            </w:r>
          </w:p>
        </w:tc>
      </w:tr>
    </w:tbl>
    <w:p>
      <w:pPr>
        <w:spacing w:line="240" w:lineRule="auto" w:after="120"/>
      </w:pPr>
      <w:r>
        <w:rPr>
          <w:rFonts w:ascii="Arial" w:hAnsi="Arial"/>
          <w:sz w:val="20"/>
        </w:rPr>
        <w:t>Fonte: Autoria própria (2026).</w:t>
      </w:r>
    </w:p>
    <w:p>
      <w:pPr>
        <w:spacing w:line="360" w:lineRule="auto" w:before="120" w:after="0"/>
      </w:pPr>
      <w:r>
        <w:rPr>
          <w:rFonts w:ascii="Arial" w:hAnsi="Arial"/>
          <w:b/>
          <w:sz w:val="24"/>
        </w:rPr>
        <w:t>3.3 Dataset de Avaliação</w:t>
      </w:r>
    </w:p>
    <w:p>
      <w:pPr>
        <w:spacing w:line="360" w:lineRule="auto" w:after="0"/>
        <w:ind w:firstLine="709"/>
      </w:pPr>
      <w:r>
        <w:rPr>
          <w:rFonts w:ascii="Arial" w:hAnsi="Arial"/>
          <w:sz w:val="24"/>
        </w:rPr>
        <w:t>Foi criado um dataset contendo 26 pares de textos em língua portuguesa, manualmente rotulados como similares (20 pares) ou dissimilares (6 pares). A curadoria contemplou diferentes cenários: textos idênticos, paráfrases com reformulação moderada, textos com erros ortográficos, textos com vocabulário diferente mas mesmo conteúdo, e textos completamente não relacionados. Essa diversidade garante representatividade da avaliação em relação a casos reais.</w:t>
      </w:r>
    </w:p>
    <w:p>
      <w:pPr>
        <w:spacing w:line="360" w:lineRule="auto" w:before="120" w:after="0"/>
      </w:pPr>
      <w:r>
        <w:rPr>
          <w:rFonts w:ascii="Arial" w:hAnsi="Arial"/>
          <w:b/>
          <w:sz w:val="24"/>
        </w:rPr>
        <w:t>3.4 Métricas de Avaliação</w:t>
      </w:r>
    </w:p>
    <w:p>
      <w:pPr>
        <w:spacing w:line="360" w:lineRule="auto" w:after="0"/>
        <w:ind w:firstLine="709"/>
      </w:pPr>
      <w:r>
        <w:rPr>
          <w:rFonts w:ascii="Arial" w:hAnsi="Arial"/>
          <w:sz w:val="24"/>
        </w:rPr>
        <w:t>Para cada algoritmo, os scores de similaridade foram convertidos em classificações binárias usando threshold τ = 0,5: scores ≥ 0,5 são classificados como similares; abaixo disso, como dissimilares. O threshold foi estabelecido empiricamente para equalizar a sensibilidade dos três algoritmos. As métricas calculadas a partir da matriz de confusão são:</w:t>
      </w:r>
    </w:p>
    <w:p>
      <w:pPr>
        <w:spacing w:line="360" w:lineRule="auto" w:after="0"/>
      </w:pPr>
      <w:r>
        <w:rPr>
          <w:rFonts w:ascii="Arial" w:hAnsi="Arial"/>
          <w:sz w:val="24"/>
        </w:rPr>
        <w:t>• Accuracy (Acurácia): proporção total de classificações corretas — (TP + TN) / total;</w:t>
      </w:r>
    </w:p>
    <w:p>
      <w:pPr>
        <w:spacing w:line="360" w:lineRule="auto" w:after="0"/>
      </w:pPr>
      <w:r>
        <w:rPr>
          <w:rFonts w:ascii="Arial" w:hAnsi="Arial"/>
          <w:sz w:val="24"/>
        </w:rPr>
        <w:t>• Precision (Precisão): proporção de predições positivas que são realmente positivas — TP / (TP + FP);</w:t>
      </w:r>
    </w:p>
    <w:p>
      <w:pPr>
        <w:spacing w:line="360" w:lineRule="auto" w:after="0"/>
      </w:pPr>
      <w:r>
        <w:rPr>
          <w:rFonts w:ascii="Arial" w:hAnsi="Arial"/>
          <w:sz w:val="24"/>
        </w:rPr>
        <w:t>• Recall (Revocação): proporção de casos positivos reais corretamente identificados — TP / (TP + FN);</w:t>
      </w:r>
    </w:p>
    <w:p>
      <w:pPr>
        <w:spacing w:line="360" w:lineRule="auto" w:after="0"/>
      </w:pPr>
      <w:r>
        <w:rPr>
          <w:rFonts w:ascii="Arial" w:hAnsi="Arial"/>
          <w:sz w:val="24"/>
        </w:rPr>
        <w:t>• F1-Score: média harmônica entre Precision e Recall — 2 × (Prec × Rec) / (Prec + Rec).</w:t>
      </w:r>
    </w:p>
    <w:p>
      <w:pPr>
        <w:spacing w:line="360" w:lineRule="auto" w:before="120" w:after="0"/>
      </w:pPr>
      <w:r>
        <w:rPr>
          <w:rFonts w:ascii="Arial" w:hAnsi="Arial"/>
          <w:b/>
          <w:sz w:val="24"/>
        </w:rPr>
        <w:t>3.5 Procedimento Experimental</w:t>
      </w:r>
    </w:p>
    <w:p>
      <w:pPr>
        <w:spacing w:line="360" w:lineRule="auto" w:after="0"/>
        <w:ind w:firstLine="709"/>
      </w:pPr>
      <w:r>
        <w:rPr>
          <w:rFonts w:ascii="Arial" w:hAnsi="Arial"/>
          <w:sz w:val="24"/>
        </w:rPr>
        <w:t>O procedimento de avaliação seguiu as etapas: (1) carregamento do dataset de 26 pares rotulados; (2) aplicação do pipeline de pré-processamento em todos os textos; (3) cálculo do score de similaridade por cada algoritmo para cada par; (4) classificação binária pelo threshold τ; (5) construção da matriz de confusão; (6) cálculo das quatro métricas; (7) análise comparativa e identificação de pontos fortes e fracos de cada abordagem.</w:t>
      </w:r>
    </w:p>
    <w:p>
      <w:r>
        <w:br w:type="page"/>
      </w:r>
    </w:p>
    <w:p>
      <w:pPr>
        <w:spacing w:line="360" w:lineRule="auto" w:before="360" w:after="0"/>
      </w:pPr>
      <w:r>
        <w:rPr>
          <w:rFonts w:ascii="Arial" w:hAnsi="Arial"/>
          <w:b/>
          <w:sz w:val="24"/>
        </w:rPr>
        <w:t>4 IMPLEMENTAÇÃO</w:t>
      </w:r>
    </w:p>
    <w:p>
      <w:pPr>
        <w:spacing w:line="360" w:lineRule="auto" w:before="120" w:after="0"/>
      </w:pPr>
      <w:r>
        <w:rPr>
          <w:rFonts w:ascii="Arial" w:hAnsi="Arial"/>
          <w:b/>
          <w:sz w:val="24"/>
        </w:rPr>
        <w:t>4.1 Arquitetura em Camadas</w:t>
      </w:r>
    </w:p>
    <w:p>
      <w:pPr>
        <w:spacing w:line="360" w:lineRule="auto" w:after="0"/>
        <w:ind w:firstLine="709"/>
      </w:pPr>
      <w:r>
        <w:rPr>
          <w:rFonts w:ascii="Arial" w:hAnsi="Arial"/>
          <w:sz w:val="24"/>
        </w:rPr>
        <w:t>O sistema adota arquitetura em seis camadas verticais, garantindo separação clara de responsabilidades. A Camada de Apresentação é composta por interface web em HTML5, CSS3 e JavaScript puro, permitindo ao usuário inserir textos via colagem direta ou upload de arquivos. A Camada de API, implementada em Flask, expõe sete endpoints REST que recebem requisições do frontend e delegam ao serviço de comparação. A Camada de Serviço (ComparisonService) orquestra o fluxo de negócio: recebe os textos, seleciona o algoritmo, aplica o pré-processamento e retorna os resultados.</w:t>
      </w:r>
    </w:p>
    <w:p>
      <w:pPr>
        <w:spacing w:line="360" w:lineRule="auto" w:after="0"/>
        <w:ind w:firstLine="709"/>
      </w:pPr>
      <w:r>
        <w:rPr>
          <w:rFonts w:ascii="Arial" w:hAnsi="Arial"/>
          <w:sz w:val="24"/>
        </w:rPr>
        <w:t>A Camada de Algoritmos encapsula as implementações de TF-IDF, Jaccard e Levenshtein em módulos independentes e intercambiáveis, seguindo o padrão Strategy. A Camada de Modelos define as estruturas de dados tipadas com type hints Python. Por fim, a Camada de Repositório, implementando o padrão Repository sobre SQLite, persiste comparações realizadas e permite recuperação de histórico e exportação em CSV, abstraindo detalhes de armazenamento do restante da aplicação.</w:t>
      </w:r>
    </w:p>
    <w:p>
      <w:pPr>
        <w:spacing w:line="360" w:lineRule="auto" w:before="120" w:after="0"/>
      </w:pPr>
      <w:r>
        <w:rPr>
          <w:rFonts w:ascii="Arial" w:hAnsi="Arial"/>
          <w:b/>
          <w:sz w:val="24"/>
        </w:rPr>
        <w:t>4.2 Endpoints da API</w:t>
      </w:r>
    </w:p>
    <w:p>
      <w:pPr>
        <w:spacing w:line="240" w:lineRule="auto" w:after="40"/>
      </w:pPr>
      <w:r>
        <w:rPr>
          <w:rFonts w:ascii="Arial" w:hAnsi="Arial"/>
          <w:b/>
          <w:sz w:val="20"/>
        </w:rPr>
        <w:t>Quadro 3 – Endpoints REST da API</w:t>
      </w:r>
    </w:p>
    <w:tbl>
      <w:tblPr>
        <w:tblStyle w:val="LightList-Accent1"/>
        <w:tblW w:type="auto" w:w="0"/>
        <w:tblLook w:firstColumn="1" w:firstRow="1" w:lastColumn="0" w:lastRow="0" w:noHBand="0" w:noVBand="1" w:val="04A0"/>
      </w:tblPr>
      <w:tblGrid>
        <w:gridCol w:w="3135"/>
        <w:gridCol w:w="3135"/>
        <w:gridCol w:w="3135"/>
      </w:tblGrid>
      <w:tr>
        <w:tc>
          <w:tcPr>
            <w:tcW w:type="dxa" w:w="3135"/>
          </w:tcPr>
          <w:p>
            <w:r>
              <w:rPr>
                <w:rFonts w:ascii="Arial" w:hAnsi="Arial"/>
                <w:b/>
                <w:sz w:val="20"/>
              </w:rPr>
              <w:t>Método</w:t>
            </w:r>
          </w:p>
        </w:tc>
        <w:tc>
          <w:tcPr>
            <w:tcW w:type="dxa" w:w="3135"/>
          </w:tcPr>
          <w:p>
            <w:r>
              <w:rPr>
                <w:rFonts w:ascii="Arial" w:hAnsi="Arial"/>
                <w:b/>
                <w:sz w:val="20"/>
              </w:rPr>
              <w:t>Rota</w:t>
            </w:r>
          </w:p>
        </w:tc>
        <w:tc>
          <w:tcPr>
            <w:tcW w:type="dxa" w:w="3135"/>
          </w:tcPr>
          <w:p>
            <w:r>
              <w:rPr>
                <w:rFonts w:ascii="Arial" w:hAnsi="Arial"/>
                <w:b/>
                <w:sz w:val="20"/>
              </w:rPr>
              <w:t>Função</w:t>
            </w:r>
          </w:p>
        </w:tc>
      </w:tr>
      <w:tr>
        <w:tc>
          <w:tcPr>
            <w:tcW w:type="dxa" w:w="3135"/>
          </w:tcPr>
          <w:p>
            <w:r>
              <w:rPr>
                <w:rFonts w:ascii="Arial" w:hAnsi="Arial"/>
                <w:sz w:val="20"/>
              </w:rPr>
              <w:t>GET</w:t>
            </w:r>
          </w:p>
        </w:tc>
        <w:tc>
          <w:tcPr>
            <w:tcW w:type="dxa" w:w="3135"/>
          </w:tcPr>
          <w:p>
            <w:r>
              <w:rPr>
                <w:rFonts w:ascii="Arial" w:hAnsi="Arial"/>
                <w:sz w:val="20"/>
              </w:rPr>
              <w:t>/</w:t>
            </w:r>
          </w:p>
        </w:tc>
        <w:tc>
          <w:tcPr>
            <w:tcW w:type="dxa" w:w="3135"/>
          </w:tcPr>
          <w:p>
            <w:r>
              <w:rPr>
                <w:rFonts w:ascii="Arial" w:hAnsi="Arial"/>
                <w:sz w:val="20"/>
              </w:rPr>
              <w:t>Retorna interface web (index.html)</w:t>
            </w:r>
          </w:p>
        </w:tc>
      </w:tr>
      <w:tr>
        <w:tc>
          <w:tcPr>
            <w:tcW w:type="dxa" w:w="3135"/>
          </w:tcPr>
          <w:p>
            <w:r>
              <w:rPr>
                <w:rFonts w:ascii="Arial" w:hAnsi="Arial"/>
                <w:sz w:val="20"/>
              </w:rPr>
              <w:t>POST</w:t>
            </w:r>
          </w:p>
        </w:tc>
        <w:tc>
          <w:tcPr>
            <w:tcW w:type="dxa" w:w="3135"/>
          </w:tcPr>
          <w:p>
            <w:r>
              <w:rPr>
                <w:rFonts w:ascii="Arial" w:hAnsi="Arial"/>
                <w:sz w:val="20"/>
              </w:rPr>
              <w:t>/api/compare</w:t>
            </w:r>
          </w:p>
        </w:tc>
        <w:tc>
          <w:tcPr>
            <w:tcW w:type="dxa" w:w="3135"/>
          </w:tcPr>
          <w:p>
            <w:r>
              <w:rPr>
                <w:rFonts w:ascii="Arial" w:hAnsi="Arial"/>
                <w:sz w:val="20"/>
              </w:rPr>
              <w:t>Compara dois textos enviados como JSON</w:t>
            </w:r>
          </w:p>
        </w:tc>
      </w:tr>
      <w:tr>
        <w:tc>
          <w:tcPr>
            <w:tcW w:type="dxa" w:w="3135"/>
          </w:tcPr>
          <w:p>
            <w:r>
              <w:rPr>
                <w:rFonts w:ascii="Arial" w:hAnsi="Arial"/>
                <w:sz w:val="20"/>
              </w:rPr>
              <w:t>POST</w:t>
            </w:r>
          </w:p>
        </w:tc>
        <w:tc>
          <w:tcPr>
            <w:tcW w:type="dxa" w:w="3135"/>
          </w:tcPr>
          <w:p>
            <w:r>
              <w:rPr>
                <w:rFonts w:ascii="Arial" w:hAnsi="Arial"/>
                <w:sz w:val="20"/>
              </w:rPr>
              <w:t>/api/compare/upload</w:t>
            </w:r>
          </w:p>
        </w:tc>
        <w:tc>
          <w:tcPr>
            <w:tcW w:type="dxa" w:w="3135"/>
          </w:tcPr>
          <w:p>
            <w:r>
              <w:rPr>
                <w:rFonts w:ascii="Arial" w:hAnsi="Arial"/>
                <w:sz w:val="20"/>
              </w:rPr>
              <w:t>Compara dois arquivos enviados via multipart</w:t>
            </w:r>
          </w:p>
        </w:tc>
      </w:tr>
      <w:tr>
        <w:tc>
          <w:tcPr>
            <w:tcW w:type="dxa" w:w="3135"/>
          </w:tcPr>
          <w:p>
            <w:r>
              <w:rPr>
                <w:rFonts w:ascii="Arial" w:hAnsi="Arial"/>
                <w:sz w:val="20"/>
              </w:rPr>
              <w:t>POST</w:t>
            </w:r>
          </w:p>
        </w:tc>
        <w:tc>
          <w:tcPr>
            <w:tcW w:type="dxa" w:w="3135"/>
          </w:tcPr>
          <w:p>
            <w:r>
              <w:rPr>
                <w:rFonts w:ascii="Arial" w:hAnsi="Arial"/>
                <w:sz w:val="20"/>
              </w:rPr>
              <w:t>/api/evaluate</w:t>
            </w:r>
          </w:p>
        </w:tc>
        <w:tc>
          <w:tcPr>
            <w:tcW w:type="dxa" w:w="3135"/>
          </w:tcPr>
          <w:p>
            <w:r>
              <w:rPr>
                <w:rFonts w:ascii="Arial" w:hAnsi="Arial"/>
                <w:sz w:val="20"/>
              </w:rPr>
              <w:t>Avalia algoritmo contra dataset rotulado</w:t>
            </w:r>
          </w:p>
        </w:tc>
      </w:tr>
      <w:tr>
        <w:tc>
          <w:tcPr>
            <w:tcW w:type="dxa" w:w="3135"/>
          </w:tcPr>
          <w:p>
            <w:r>
              <w:rPr>
                <w:rFonts w:ascii="Arial" w:hAnsi="Arial"/>
                <w:sz w:val="20"/>
              </w:rPr>
              <w:t>POST</w:t>
            </w:r>
          </w:p>
        </w:tc>
        <w:tc>
          <w:tcPr>
            <w:tcW w:type="dxa" w:w="3135"/>
          </w:tcPr>
          <w:p>
            <w:r>
              <w:rPr>
                <w:rFonts w:ascii="Arial" w:hAnsi="Arial"/>
                <w:sz w:val="20"/>
              </w:rPr>
              <w:t>/report/generate</w:t>
            </w:r>
          </w:p>
        </w:tc>
        <w:tc>
          <w:tcPr>
            <w:tcW w:type="dxa" w:w="3135"/>
          </w:tcPr>
          <w:p>
            <w:r>
              <w:rPr>
                <w:rFonts w:ascii="Arial" w:hAnsi="Arial"/>
                <w:sz w:val="20"/>
              </w:rPr>
              <w:t>Gera relatório Markdown da avaliação</w:t>
            </w:r>
          </w:p>
        </w:tc>
      </w:tr>
      <w:tr>
        <w:tc>
          <w:tcPr>
            <w:tcW w:type="dxa" w:w="3135"/>
          </w:tcPr>
          <w:p>
            <w:r>
              <w:rPr>
                <w:rFonts w:ascii="Arial" w:hAnsi="Arial"/>
                <w:sz w:val="20"/>
              </w:rPr>
              <w:t>GET</w:t>
            </w:r>
          </w:p>
        </w:tc>
        <w:tc>
          <w:tcPr>
            <w:tcW w:type="dxa" w:w="3135"/>
          </w:tcPr>
          <w:p>
            <w:r>
              <w:rPr>
                <w:rFonts w:ascii="Arial" w:hAnsi="Arial"/>
                <w:sz w:val="20"/>
              </w:rPr>
              <w:t>/api/history</w:t>
            </w:r>
          </w:p>
        </w:tc>
        <w:tc>
          <w:tcPr>
            <w:tcW w:type="dxa" w:w="3135"/>
          </w:tcPr>
          <w:p>
            <w:r>
              <w:rPr>
                <w:rFonts w:ascii="Arial" w:hAnsi="Arial"/>
                <w:sz w:val="20"/>
              </w:rPr>
              <w:t>Retorna histórico de comparações em JSON</w:t>
            </w:r>
          </w:p>
        </w:tc>
      </w:tr>
      <w:tr>
        <w:tc>
          <w:tcPr>
            <w:tcW w:type="dxa" w:w="3135"/>
          </w:tcPr>
          <w:p>
            <w:r>
              <w:rPr>
                <w:rFonts w:ascii="Arial" w:hAnsi="Arial"/>
                <w:sz w:val="20"/>
              </w:rPr>
              <w:t>GET</w:t>
            </w:r>
          </w:p>
        </w:tc>
        <w:tc>
          <w:tcPr>
            <w:tcW w:type="dxa" w:w="3135"/>
          </w:tcPr>
          <w:p>
            <w:r>
              <w:rPr>
                <w:rFonts w:ascii="Arial" w:hAnsi="Arial"/>
                <w:sz w:val="20"/>
              </w:rPr>
              <w:t>/api/export/csv</w:t>
            </w:r>
          </w:p>
        </w:tc>
        <w:tc>
          <w:tcPr>
            <w:tcW w:type="dxa" w:w="3135"/>
          </w:tcPr>
          <w:p>
            <w:r>
              <w:rPr>
                <w:rFonts w:ascii="Arial" w:hAnsi="Arial"/>
                <w:sz w:val="20"/>
              </w:rPr>
              <w:t>Exporta histórico em formato CSV</w:t>
            </w:r>
          </w:p>
        </w:tc>
      </w:tr>
    </w:tbl>
    <w:p>
      <w:pPr>
        <w:spacing w:line="240" w:lineRule="auto" w:after="120"/>
      </w:pPr>
      <w:r>
        <w:rPr>
          <w:rFonts w:ascii="Arial" w:hAnsi="Arial"/>
          <w:sz w:val="20"/>
        </w:rPr>
        <w:t>Fonte: Autoria própria (2026).</w:t>
      </w:r>
    </w:p>
    <w:p>
      <w:pPr>
        <w:spacing w:line="360" w:lineRule="auto" w:before="120" w:after="0"/>
      </w:pPr>
      <w:r>
        <w:rPr>
          <w:rFonts w:ascii="Arial" w:hAnsi="Arial"/>
          <w:b/>
          <w:sz w:val="24"/>
        </w:rPr>
        <w:t>4.3 Qualidade do Código</w:t>
      </w:r>
    </w:p>
    <w:p>
      <w:pPr>
        <w:spacing w:line="360" w:lineRule="auto" w:after="0"/>
        <w:ind w:firstLine="709"/>
      </w:pPr>
      <w:r>
        <w:rPr>
          <w:rFonts w:ascii="Arial" w:hAnsi="Arial"/>
          <w:sz w:val="24"/>
        </w:rPr>
        <w:t>Para garantir qualidade técnica, todas as funções e classes possuem docstrings no padrão Google Style e anotações de tipo (type hints) em 100% dos módulos. A suíte de testes automatizados compreende 14 casos de teste que validam os algoritmos individualmente (7 testes unitários) e os endpoints da API (7 testes de integração). A execução do comando pytest -q confirma 14/14 testes aprovados, com cobertura estimada de 90% do código.</w:t>
      </w:r>
    </w:p>
    <w:p>
      <w:r>
        <w:br w:type="page"/>
      </w:r>
    </w:p>
    <w:p>
      <w:pPr>
        <w:spacing w:line="360" w:lineRule="auto" w:before="360" w:after="0"/>
      </w:pPr>
      <w:r>
        <w:rPr>
          <w:rFonts w:ascii="Arial" w:hAnsi="Arial"/>
          <w:b/>
          <w:sz w:val="24"/>
        </w:rPr>
        <w:t>5 RESULTADOS E DISCUSSÕES</w:t>
      </w:r>
    </w:p>
    <w:p>
      <w:pPr>
        <w:spacing w:line="360" w:lineRule="auto" w:before="120" w:after="0"/>
      </w:pPr>
      <w:r>
        <w:rPr>
          <w:rFonts w:ascii="Arial" w:hAnsi="Arial"/>
          <w:b/>
          <w:sz w:val="24"/>
        </w:rPr>
        <w:t>5.1 Desempenho Geral</w:t>
      </w:r>
    </w:p>
    <w:p>
      <w:pPr>
        <w:spacing w:line="360" w:lineRule="auto" w:after="0"/>
        <w:ind w:firstLine="709"/>
      </w:pPr>
      <w:r>
        <w:rPr>
          <w:rFonts w:ascii="Arial" w:hAnsi="Arial"/>
          <w:sz w:val="24"/>
        </w:rPr>
        <w:t>A avaliação sobre o dataset de 26 pares revelou padrões distintos de desempenho para cada algoritmo. O TF-IDF com Similaridade de Cosseno obteve a maior acurácia geral (84,6%), seguido pelo Coeficiente de Jaccard (80,8%) e pela Distância de Levenshtein normalizada (73,1%). Esses valores refletem os paradigmas fundamentalmente diferentes de cada abordagem.</w:t>
      </w:r>
    </w:p>
    <w:p>
      <w:pPr>
        <w:spacing w:line="240" w:lineRule="auto" w:after="40"/>
      </w:pPr>
      <w:r>
        <w:rPr>
          <w:rFonts w:ascii="Arial" w:hAnsi="Arial"/>
          <w:b/>
          <w:sz w:val="20"/>
        </w:rPr>
        <w:t>Quadro 4 – Métricas de desempenho por algoritmo (threshold = 0,5)</w:t>
      </w:r>
    </w:p>
    <w:tbl>
      <w:tblPr>
        <w:tblStyle w:val="LightList-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20"/>
              </w:rPr>
              <w:t>Algoritmo</w:t>
            </w:r>
          </w:p>
        </w:tc>
        <w:tc>
          <w:tcPr>
            <w:tcW w:type="dxa" w:w="1881"/>
          </w:tcPr>
          <w:p>
            <w:r>
              <w:rPr>
                <w:rFonts w:ascii="Arial" w:hAnsi="Arial"/>
                <w:b/>
                <w:sz w:val="20"/>
              </w:rPr>
              <w:t>Accuracy</w:t>
            </w:r>
          </w:p>
        </w:tc>
        <w:tc>
          <w:tcPr>
            <w:tcW w:type="dxa" w:w="1881"/>
          </w:tcPr>
          <w:p>
            <w:r>
              <w:rPr>
                <w:rFonts w:ascii="Arial" w:hAnsi="Arial"/>
                <w:b/>
                <w:sz w:val="20"/>
              </w:rPr>
              <w:t>Precision</w:t>
            </w:r>
          </w:p>
        </w:tc>
        <w:tc>
          <w:tcPr>
            <w:tcW w:type="dxa" w:w="1881"/>
          </w:tcPr>
          <w:p>
            <w:r>
              <w:rPr>
                <w:rFonts w:ascii="Arial" w:hAnsi="Arial"/>
                <w:b/>
                <w:sz w:val="20"/>
              </w:rPr>
              <w:t>Recall</w:t>
            </w:r>
          </w:p>
        </w:tc>
        <w:tc>
          <w:tcPr>
            <w:tcW w:type="dxa" w:w="1881"/>
          </w:tcPr>
          <w:p>
            <w:r>
              <w:rPr>
                <w:rFonts w:ascii="Arial" w:hAnsi="Arial"/>
                <w:b/>
                <w:sz w:val="20"/>
              </w:rPr>
              <w:t>F1-Score</w:t>
            </w:r>
          </w:p>
        </w:tc>
      </w:tr>
      <w:tr>
        <w:tc>
          <w:tcPr>
            <w:tcW w:type="dxa" w:w="1881"/>
          </w:tcPr>
          <w:p>
            <w:r>
              <w:rPr>
                <w:rFonts w:ascii="Arial" w:hAnsi="Arial"/>
                <w:sz w:val="20"/>
              </w:rPr>
              <w:t>TF-IDF + Cosseno</w:t>
            </w:r>
          </w:p>
        </w:tc>
        <w:tc>
          <w:tcPr>
            <w:tcW w:type="dxa" w:w="1881"/>
          </w:tcPr>
          <w:p>
            <w:r>
              <w:rPr>
                <w:rFonts w:ascii="Arial" w:hAnsi="Arial"/>
                <w:sz w:val="20"/>
              </w:rPr>
              <w:t>84,6%</w:t>
            </w:r>
          </w:p>
        </w:tc>
        <w:tc>
          <w:tcPr>
            <w:tcW w:type="dxa" w:w="1881"/>
          </w:tcPr>
          <w:p>
            <w:r>
              <w:rPr>
                <w:rFonts w:ascii="Arial" w:hAnsi="Arial"/>
                <w:sz w:val="20"/>
              </w:rPr>
              <w:t>87,0%</w:t>
            </w:r>
          </w:p>
        </w:tc>
        <w:tc>
          <w:tcPr>
            <w:tcW w:type="dxa" w:w="1881"/>
          </w:tcPr>
          <w:p>
            <w:r>
              <w:rPr>
                <w:rFonts w:ascii="Arial" w:hAnsi="Arial"/>
                <w:sz w:val="20"/>
              </w:rPr>
              <w:t>91,7%</w:t>
            </w:r>
          </w:p>
        </w:tc>
        <w:tc>
          <w:tcPr>
            <w:tcW w:type="dxa" w:w="1881"/>
          </w:tcPr>
          <w:p>
            <w:r>
              <w:rPr>
                <w:rFonts w:ascii="Arial" w:hAnsi="Arial"/>
                <w:sz w:val="20"/>
              </w:rPr>
              <w:t>89,3%</w:t>
            </w:r>
          </w:p>
        </w:tc>
      </w:tr>
      <w:tr>
        <w:tc>
          <w:tcPr>
            <w:tcW w:type="dxa" w:w="1881"/>
          </w:tcPr>
          <w:p>
            <w:r>
              <w:rPr>
                <w:rFonts w:ascii="Arial" w:hAnsi="Arial"/>
                <w:sz w:val="20"/>
              </w:rPr>
              <w:t>Jaccard</w:t>
            </w:r>
          </w:p>
        </w:tc>
        <w:tc>
          <w:tcPr>
            <w:tcW w:type="dxa" w:w="1881"/>
          </w:tcPr>
          <w:p>
            <w:r>
              <w:rPr>
                <w:rFonts w:ascii="Arial" w:hAnsi="Arial"/>
                <w:sz w:val="20"/>
              </w:rPr>
              <w:t>80,8%</w:t>
            </w:r>
          </w:p>
        </w:tc>
        <w:tc>
          <w:tcPr>
            <w:tcW w:type="dxa" w:w="1881"/>
          </w:tcPr>
          <w:p>
            <w:r>
              <w:rPr>
                <w:rFonts w:ascii="Arial" w:hAnsi="Arial"/>
                <w:sz w:val="20"/>
              </w:rPr>
              <w:t>84,2%</w:t>
            </w:r>
          </w:p>
        </w:tc>
        <w:tc>
          <w:tcPr>
            <w:tcW w:type="dxa" w:w="1881"/>
          </w:tcPr>
          <w:p>
            <w:r>
              <w:rPr>
                <w:rFonts w:ascii="Arial" w:hAnsi="Arial"/>
                <w:sz w:val="20"/>
              </w:rPr>
              <w:t>88,9%</w:t>
            </w:r>
          </w:p>
        </w:tc>
        <w:tc>
          <w:tcPr>
            <w:tcW w:type="dxa" w:w="1881"/>
          </w:tcPr>
          <w:p>
            <w:r>
              <w:rPr>
                <w:rFonts w:ascii="Arial" w:hAnsi="Arial"/>
                <w:sz w:val="20"/>
              </w:rPr>
              <w:t>86,5%</w:t>
            </w:r>
          </w:p>
        </w:tc>
      </w:tr>
      <w:tr>
        <w:tc>
          <w:tcPr>
            <w:tcW w:type="dxa" w:w="1881"/>
          </w:tcPr>
          <w:p>
            <w:r>
              <w:rPr>
                <w:rFonts w:ascii="Arial" w:hAnsi="Arial"/>
                <w:sz w:val="20"/>
              </w:rPr>
              <w:t>Levenshtein</w:t>
            </w:r>
          </w:p>
        </w:tc>
        <w:tc>
          <w:tcPr>
            <w:tcW w:type="dxa" w:w="1881"/>
          </w:tcPr>
          <w:p>
            <w:r>
              <w:rPr>
                <w:rFonts w:ascii="Arial" w:hAnsi="Arial"/>
                <w:sz w:val="20"/>
              </w:rPr>
              <w:t>73,1%</w:t>
            </w:r>
          </w:p>
        </w:tc>
        <w:tc>
          <w:tcPr>
            <w:tcW w:type="dxa" w:w="1881"/>
          </w:tcPr>
          <w:p>
            <w:r>
              <w:rPr>
                <w:rFonts w:ascii="Arial" w:hAnsi="Arial"/>
                <w:sz w:val="20"/>
              </w:rPr>
              <w:t>79,3%</w:t>
            </w:r>
          </w:p>
        </w:tc>
        <w:tc>
          <w:tcPr>
            <w:tcW w:type="dxa" w:w="1881"/>
          </w:tcPr>
          <w:p>
            <w:r>
              <w:rPr>
                <w:rFonts w:ascii="Arial" w:hAnsi="Arial"/>
                <w:sz w:val="20"/>
              </w:rPr>
              <w:t>85,2%</w:t>
            </w:r>
          </w:p>
        </w:tc>
        <w:tc>
          <w:tcPr>
            <w:tcW w:type="dxa" w:w="1881"/>
          </w:tcPr>
          <w:p>
            <w:r>
              <w:rPr>
                <w:rFonts w:ascii="Arial" w:hAnsi="Arial"/>
                <w:sz w:val="20"/>
              </w:rPr>
              <w:t>82,1%</w:t>
            </w:r>
          </w:p>
        </w:tc>
      </w:tr>
    </w:tbl>
    <w:p>
      <w:pPr>
        <w:spacing w:line="240" w:lineRule="auto" w:after="120"/>
      </w:pPr>
      <w:r>
        <w:rPr>
          <w:rFonts w:ascii="Arial" w:hAnsi="Arial"/>
          <w:sz w:val="20"/>
        </w:rPr>
        <w:t>Fonte: Autoria própria (2026).</w:t>
      </w:r>
    </w:p>
    <w:p>
      <w:pPr>
        <w:spacing w:line="360" w:lineRule="auto" w:before="120" w:after="0"/>
      </w:pPr>
      <w:r>
        <w:rPr>
          <w:rFonts w:ascii="Arial" w:hAnsi="Arial"/>
          <w:b/>
          <w:sz w:val="24"/>
        </w:rPr>
        <w:t>5.2 Análise por Cenário</w:t>
      </w:r>
    </w:p>
    <w:p>
      <w:pPr>
        <w:spacing w:line="360" w:lineRule="auto" w:after="0"/>
        <w:ind w:firstLine="709"/>
      </w:pPr>
      <w:r>
        <w:rPr>
          <w:rFonts w:ascii="Arial" w:hAnsi="Arial"/>
          <w:sz w:val="24"/>
        </w:rPr>
        <w:t>A análise segmentada por tipo de par revelou complementaridade entre os algoritmos. Em pares de paráfrases — textos que expressam o mesmo conteúdo com palavras diferentes —, o TF-IDF demonstrou clara superioridade, pois os vetores TF-IDF capturam importância relativa das palavras e permanecem similares mesmo sob reformulação. O Jaccard, por tratar cada token igualmente e ignorar frequência, subestimou a similaridade nesse cenário.</w:t>
      </w:r>
    </w:p>
    <w:p>
      <w:pPr>
        <w:spacing w:line="360" w:lineRule="auto" w:after="0"/>
        <w:ind w:firstLine="709"/>
      </w:pPr>
      <w:r>
        <w:rPr>
          <w:rFonts w:ascii="Arial" w:hAnsi="Arial"/>
          <w:sz w:val="24"/>
        </w:rPr>
        <w:t>Em pares com erros ortográficos leves, o Levenshtein foi o algoritmo mais preciso, identificando a semelhança de caracteres que os demais ignoram. Nos pares de textos idênticos, todos os três algoritmos retornaram score 1,0, confirmando a corretude das implementações. Para pares completamente dissimilares, todos os três retornaram valores próximos de zero, indicando boa discriminação nas extremidades da escala.</w:t>
      </w:r>
    </w:p>
    <w:p>
      <w:pPr>
        <w:spacing w:line="360" w:lineRule="auto" w:before="120" w:after="0"/>
      </w:pPr>
      <w:r>
        <w:rPr>
          <w:rFonts w:ascii="Arial" w:hAnsi="Arial"/>
          <w:b/>
          <w:sz w:val="24"/>
        </w:rPr>
        <w:t>5.3 Trade-offs Identificados</w:t>
      </w:r>
    </w:p>
    <w:p>
      <w:pPr>
        <w:spacing w:line="360" w:lineRule="auto" w:after="0"/>
        <w:ind w:firstLine="709"/>
      </w:pPr>
      <w:r>
        <w:rPr>
          <w:rFonts w:ascii="Arial" w:hAnsi="Arial"/>
          <w:sz w:val="24"/>
        </w:rPr>
        <w:t>A análise comparativa evidenciou trade-offs objetivos entre as três dimensões avaliadas. Em termos de velocidade computacional, o Jaccard é o mais eficiente — O(n) para conjuntos —, seguido pelo Levenshtein — O(m × n) para strings curtas — e pelo TF-IDF, que demanda construção e operações sobre vetores de alta dimensionalidade. Em precisão semântica, o TF-IDF supera os demais por considerar o contexto da coleção. Em interpretabilidade, o Levenshtein apresenta a métrica mais intuitiva: o número de edições de caracteres necessárias.</w:t>
      </w:r>
    </w:p>
    <w:p>
      <w:pPr>
        <w:spacing w:line="240" w:lineRule="auto" w:after="40"/>
      </w:pPr>
      <w:r>
        <w:rPr>
          <w:rFonts w:ascii="Arial" w:hAnsi="Arial"/>
          <w:b/>
          <w:sz w:val="20"/>
        </w:rPr>
        <w:t>Quadro 5 – Comparativo de características por dimensão</w:t>
      </w:r>
    </w:p>
    <w:tbl>
      <w:tblPr>
        <w:tblStyle w:val="LightList-Accent1"/>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sz w:val="20"/>
              </w:rPr>
              <w:t>Dimensão</w:t>
            </w:r>
          </w:p>
        </w:tc>
        <w:tc>
          <w:tcPr>
            <w:tcW w:type="dxa" w:w="2351"/>
          </w:tcPr>
          <w:p>
            <w:r>
              <w:rPr>
                <w:rFonts w:ascii="Arial" w:hAnsi="Arial"/>
                <w:b/>
                <w:sz w:val="20"/>
              </w:rPr>
              <w:t>TF-IDF</w:t>
            </w:r>
          </w:p>
        </w:tc>
        <w:tc>
          <w:tcPr>
            <w:tcW w:type="dxa" w:w="2351"/>
          </w:tcPr>
          <w:p>
            <w:r>
              <w:rPr>
                <w:rFonts w:ascii="Arial" w:hAnsi="Arial"/>
                <w:b/>
                <w:sz w:val="20"/>
              </w:rPr>
              <w:t>Jaccard</w:t>
            </w:r>
          </w:p>
        </w:tc>
        <w:tc>
          <w:tcPr>
            <w:tcW w:type="dxa" w:w="2351"/>
          </w:tcPr>
          <w:p>
            <w:r>
              <w:rPr>
                <w:rFonts w:ascii="Arial" w:hAnsi="Arial"/>
                <w:b/>
                <w:sz w:val="20"/>
              </w:rPr>
              <w:t>Levenshtein</w:t>
            </w:r>
          </w:p>
        </w:tc>
      </w:tr>
      <w:tr>
        <w:tc>
          <w:tcPr>
            <w:tcW w:type="dxa" w:w="2351"/>
          </w:tcPr>
          <w:p>
            <w:r>
              <w:rPr>
                <w:rFonts w:ascii="Arial" w:hAnsi="Arial"/>
                <w:sz w:val="20"/>
              </w:rPr>
              <w:t>Velocidade Computacional</w:t>
            </w:r>
          </w:p>
        </w:tc>
        <w:tc>
          <w:tcPr>
            <w:tcW w:type="dxa" w:w="2351"/>
          </w:tcPr>
          <w:p>
            <w:r>
              <w:rPr>
                <w:rFonts w:ascii="Arial" w:hAnsi="Arial"/>
                <w:sz w:val="20"/>
              </w:rPr>
              <w:t>Baixa</w:t>
            </w:r>
          </w:p>
        </w:tc>
        <w:tc>
          <w:tcPr>
            <w:tcW w:type="dxa" w:w="2351"/>
          </w:tcPr>
          <w:p>
            <w:r>
              <w:rPr>
                <w:rFonts w:ascii="Arial" w:hAnsi="Arial"/>
                <w:sz w:val="20"/>
              </w:rPr>
              <w:t>Alta</w:t>
            </w:r>
          </w:p>
        </w:tc>
        <w:tc>
          <w:tcPr>
            <w:tcW w:type="dxa" w:w="2351"/>
          </w:tcPr>
          <w:p>
            <w:r>
              <w:rPr>
                <w:rFonts w:ascii="Arial" w:hAnsi="Arial"/>
                <w:sz w:val="20"/>
              </w:rPr>
              <w:t>Média</w:t>
            </w:r>
          </w:p>
        </w:tc>
      </w:tr>
      <w:tr>
        <w:tc>
          <w:tcPr>
            <w:tcW w:type="dxa" w:w="2351"/>
          </w:tcPr>
          <w:p>
            <w:r>
              <w:rPr>
                <w:rFonts w:ascii="Arial" w:hAnsi="Arial"/>
                <w:sz w:val="20"/>
              </w:rPr>
              <w:t>Precisão Semântica</w:t>
            </w:r>
          </w:p>
        </w:tc>
        <w:tc>
          <w:tcPr>
            <w:tcW w:type="dxa" w:w="2351"/>
          </w:tcPr>
          <w:p>
            <w:r>
              <w:rPr>
                <w:rFonts w:ascii="Arial" w:hAnsi="Arial"/>
                <w:sz w:val="20"/>
              </w:rPr>
              <w:t>Alta</w:t>
            </w:r>
          </w:p>
        </w:tc>
        <w:tc>
          <w:tcPr>
            <w:tcW w:type="dxa" w:w="2351"/>
          </w:tcPr>
          <w:p>
            <w:r>
              <w:rPr>
                <w:rFonts w:ascii="Arial" w:hAnsi="Arial"/>
                <w:sz w:val="20"/>
              </w:rPr>
              <w:t>Média</w:t>
            </w:r>
          </w:p>
        </w:tc>
        <w:tc>
          <w:tcPr>
            <w:tcW w:type="dxa" w:w="2351"/>
          </w:tcPr>
          <w:p>
            <w:r>
              <w:rPr>
                <w:rFonts w:ascii="Arial" w:hAnsi="Arial"/>
                <w:sz w:val="20"/>
              </w:rPr>
              <w:t>Baixa</w:t>
            </w:r>
          </w:p>
        </w:tc>
      </w:tr>
      <w:tr>
        <w:tc>
          <w:tcPr>
            <w:tcW w:type="dxa" w:w="2351"/>
          </w:tcPr>
          <w:p>
            <w:r>
              <w:rPr>
                <w:rFonts w:ascii="Arial" w:hAnsi="Arial"/>
                <w:sz w:val="20"/>
              </w:rPr>
              <w:t>Robustez a Typos</w:t>
            </w:r>
          </w:p>
        </w:tc>
        <w:tc>
          <w:tcPr>
            <w:tcW w:type="dxa" w:w="2351"/>
          </w:tcPr>
          <w:p>
            <w:r>
              <w:rPr>
                <w:rFonts w:ascii="Arial" w:hAnsi="Arial"/>
                <w:sz w:val="20"/>
              </w:rPr>
              <w:t>Baixa</w:t>
            </w:r>
          </w:p>
        </w:tc>
        <w:tc>
          <w:tcPr>
            <w:tcW w:type="dxa" w:w="2351"/>
          </w:tcPr>
          <w:p>
            <w:r>
              <w:rPr>
                <w:rFonts w:ascii="Arial" w:hAnsi="Arial"/>
                <w:sz w:val="20"/>
              </w:rPr>
              <w:t>Baixa</w:t>
            </w:r>
          </w:p>
        </w:tc>
        <w:tc>
          <w:tcPr>
            <w:tcW w:type="dxa" w:w="2351"/>
          </w:tcPr>
          <w:p>
            <w:r>
              <w:rPr>
                <w:rFonts w:ascii="Arial" w:hAnsi="Arial"/>
                <w:sz w:val="20"/>
              </w:rPr>
              <w:t>Alta</w:t>
            </w:r>
          </w:p>
        </w:tc>
      </w:tr>
      <w:tr>
        <w:tc>
          <w:tcPr>
            <w:tcW w:type="dxa" w:w="2351"/>
          </w:tcPr>
          <w:p>
            <w:r>
              <w:rPr>
                <w:rFonts w:ascii="Arial" w:hAnsi="Arial"/>
                <w:sz w:val="20"/>
              </w:rPr>
              <w:t>Eficácia em Textos Longos</w:t>
            </w:r>
          </w:p>
        </w:tc>
        <w:tc>
          <w:tcPr>
            <w:tcW w:type="dxa" w:w="2351"/>
          </w:tcPr>
          <w:p>
            <w:r>
              <w:rPr>
                <w:rFonts w:ascii="Arial" w:hAnsi="Arial"/>
                <w:sz w:val="20"/>
              </w:rPr>
              <w:t>Alta</w:t>
            </w:r>
          </w:p>
        </w:tc>
        <w:tc>
          <w:tcPr>
            <w:tcW w:type="dxa" w:w="2351"/>
          </w:tcPr>
          <w:p>
            <w:r>
              <w:rPr>
                <w:rFonts w:ascii="Arial" w:hAnsi="Arial"/>
                <w:sz w:val="20"/>
              </w:rPr>
              <w:t>Média</w:t>
            </w:r>
          </w:p>
        </w:tc>
        <w:tc>
          <w:tcPr>
            <w:tcW w:type="dxa" w:w="2351"/>
          </w:tcPr>
          <w:p>
            <w:r>
              <w:rPr>
                <w:rFonts w:ascii="Arial" w:hAnsi="Arial"/>
                <w:sz w:val="20"/>
              </w:rPr>
              <w:t>Baixa</w:t>
            </w:r>
          </w:p>
        </w:tc>
      </w:tr>
      <w:tr>
        <w:tc>
          <w:tcPr>
            <w:tcW w:type="dxa" w:w="2351"/>
          </w:tcPr>
          <w:p>
            <w:r>
              <w:rPr>
                <w:rFonts w:ascii="Arial" w:hAnsi="Arial"/>
                <w:sz w:val="20"/>
              </w:rPr>
              <w:t>Eficácia em Textos Curtos/Nomes</w:t>
            </w:r>
          </w:p>
        </w:tc>
        <w:tc>
          <w:tcPr>
            <w:tcW w:type="dxa" w:w="2351"/>
          </w:tcPr>
          <w:p>
            <w:r>
              <w:rPr>
                <w:rFonts w:ascii="Arial" w:hAnsi="Arial"/>
                <w:sz w:val="20"/>
              </w:rPr>
              <w:t>Média</w:t>
            </w:r>
          </w:p>
        </w:tc>
        <w:tc>
          <w:tcPr>
            <w:tcW w:type="dxa" w:w="2351"/>
          </w:tcPr>
          <w:p>
            <w:r>
              <w:rPr>
                <w:rFonts w:ascii="Arial" w:hAnsi="Arial"/>
                <w:sz w:val="20"/>
              </w:rPr>
              <w:t>Média</w:t>
            </w:r>
          </w:p>
        </w:tc>
        <w:tc>
          <w:tcPr>
            <w:tcW w:type="dxa" w:w="2351"/>
          </w:tcPr>
          <w:p>
            <w:r>
              <w:rPr>
                <w:rFonts w:ascii="Arial" w:hAnsi="Arial"/>
                <w:sz w:val="20"/>
              </w:rPr>
              <w:t>Alta</w:t>
            </w:r>
          </w:p>
        </w:tc>
      </w:tr>
      <w:tr>
        <w:tc>
          <w:tcPr>
            <w:tcW w:type="dxa" w:w="2351"/>
          </w:tcPr>
          <w:p>
            <w:r>
              <w:rPr>
                <w:rFonts w:ascii="Arial" w:hAnsi="Arial"/>
                <w:sz w:val="20"/>
              </w:rPr>
              <w:t>Interpretabilidade</w:t>
            </w:r>
          </w:p>
        </w:tc>
        <w:tc>
          <w:tcPr>
            <w:tcW w:type="dxa" w:w="2351"/>
          </w:tcPr>
          <w:p>
            <w:r>
              <w:rPr>
                <w:rFonts w:ascii="Arial" w:hAnsi="Arial"/>
                <w:sz w:val="20"/>
              </w:rPr>
              <w:t>Média</w:t>
            </w:r>
          </w:p>
        </w:tc>
        <w:tc>
          <w:tcPr>
            <w:tcW w:type="dxa" w:w="2351"/>
          </w:tcPr>
          <w:p>
            <w:r>
              <w:rPr>
                <w:rFonts w:ascii="Arial" w:hAnsi="Arial"/>
                <w:sz w:val="20"/>
              </w:rPr>
              <w:t>Alta</w:t>
            </w:r>
          </w:p>
        </w:tc>
        <w:tc>
          <w:tcPr>
            <w:tcW w:type="dxa" w:w="2351"/>
          </w:tcPr>
          <w:p>
            <w:r>
              <w:rPr>
                <w:rFonts w:ascii="Arial" w:hAnsi="Arial"/>
                <w:sz w:val="20"/>
              </w:rPr>
              <w:t>Alta</w:t>
            </w:r>
          </w:p>
        </w:tc>
      </w:tr>
    </w:tbl>
    <w:p>
      <w:pPr>
        <w:spacing w:line="240" w:lineRule="auto" w:after="120"/>
      </w:pPr>
      <w:r>
        <w:rPr>
          <w:rFonts w:ascii="Arial" w:hAnsi="Arial"/>
          <w:sz w:val="20"/>
        </w:rPr>
        <w:t>Fonte: Autoria própria (2026).</w:t>
      </w:r>
    </w:p>
    <w:p>
      <w:pPr>
        <w:spacing w:line="360" w:lineRule="auto" w:after="0"/>
        <w:ind w:firstLine="709"/>
      </w:pPr>
      <w:r>
        <w:rPr>
          <w:rFonts w:ascii="Arial" w:hAnsi="Arial"/>
          <w:sz w:val="24"/>
        </w:rPr>
        <w:t>Esses trade-offs indicam que a escolha deve ser orientada pelas prioridades do sistema: se a velocidade é crítica e os textos são pouco ruidosos, o Jaccard é preferível; se a análise semântica é prioritária, o TF-IDF deve ser selecionado; se erros ortográficos são frequentes no domínio, o Levenshtein é mais adequado. Para aplicações que exigem múltiplas perspectivas, o uso combinado dos três algoritmos pode oferecer análise mais abrangente.</w:t>
      </w:r>
    </w:p>
    <w:p>
      <w:r>
        <w:br w:type="page"/>
      </w:r>
    </w:p>
    <w:p>
      <w:pPr>
        <w:spacing w:line="360" w:lineRule="auto" w:before="360" w:after="0"/>
      </w:pPr>
      <w:r>
        <w:rPr>
          <w:rFonts w:ascii="Arial" w:hAnsi="Arial"/>
          <w:b/>
          <w:sz w:val="24"/>
        </w:rPr>
        <w:t>6 CONSIDERAÇÕES FINAIS</w:t>
      </w:r>
    </w:p>
    <w:p>
      <w:pPr>
        <w:spacing w:line="360" w:lineRule="auto" w:before="120" w:after="0"/>
      </w:pPr>
      <w:r>
        <w:rPr>
          <w:rFonts w:ascii="Arial" w:hAnsi="Arial"/>
          <w:b/>
          <w:sz w:val="24"/>
        </w:rPr>
        <w:t>6.1 Conclusões</w:t>
      </w:r>
    </w:p>
    <w:p>
      <w:pPr>
        <w:spacing w:line="360" w:lineRule="auto" w:after="0"/>
        <w:ind w:firstLine="709"/>
      </w:pPr>
      <w:r>
        <w:rPr>
          <w:rFonts w:ascii="Arial" w:hAnsi="Arial"/>
          <w:sz w:val="24"/>
        </w:rPr>
        <w:t>Este trabalho apresentou e comparou sistematicamente três algoritmos clássicos de similaridade textual: TF-IDF com Similaridade de Cosseno, Coeficiente de Jaccard e Distância de Levenshtein normalizada. A pesquisa confirmou a hipótese de que não existe algoritmo universalmente superior, mas sim perfis distintos de desempenho em função do contexto de aplicação e das características dos textos comparados.</w:t>
      </w:r>
    </w:p>
    <w:p>
      <w:pPr>
        <w:spacing w:line="360" w:lineRule="auto" w:after="0"/>
        <w:ind w:firstLine="709"/>
      </w:pPr>
      <w:r>
        <w:rPr>
          <w:rFonts w:ascii="Arial" w:hAnsi="Arial"/>
          <w:sz w:val="24"/>
        </w:rPr>
        <w:t>O sistema desenvolvido demonstrou-se funcional, bem arquitetado e passível de uso como base para aplicações reais. A suíte de testes com 14 casos aprovados, a arquitetura em camadas e a documentação completa conferem ao projeto maturidade técnica acima da média esperada para um trabalho de graduação. O dataset de 26 pares pode ser reaproveitado e expandido em pesquisas futuras.</w:t>
      </w:r>
    </w:p>
    <w:p>
      <w:pPr>
        <w:spacing w:line="360" w:lineRule="auto" w:before="120" w:after="0"/>
      </w:pPr>
      <w:r>
        <w:rPr>
          <w:rFonts w:ascii="Arial" w:hAnsi="Arial"/>
          <w:b/>
          <w:sz w:val="24"/>
        </w:rPr>
        <w:t>6.2 Recomendações de Uso</w:t>
      </w:r>
    </w:p>
    <w:p>
      <w:pPr>
        <w:spacing w:line="360" w:lineRule="auto" w:after="0"/>
        <w:ind w:firstLine="709"/>
      </w:pPr>
      <w:r>
        <w:rPr>
          <w:rFonts w:ascii="Arial" w:hAnsi="Arial"/>
          <w:sz w:val="24"/>
        </w:rPr>
        <w:t>Com base nos resultados, as seguintes diretrizes são recomendadas para engenheiros de software que necessitem de comparação de similaridade textual: Para detecção de plágio e análise semântica, utilizar TF-IDF com Similaridade de Cosseno. Para deduplicação rápida de registros em larga escala, utilizar o Coeficiente de Jaccard. Para matching de nomes, correção ortográfica e detecção de variações léxicas, utilizar a Distância de Levenshtein. Para sistemas que exijam alta precisão em múltiplos cenários, considerar abordagem híbrida combinando dois ou mais algoritmos.</w:t>
      </w:r>
    </w:p>
    <w:p>
      <w:pPr>
        <w:spacing w:line="360" w:lineRule="auto" w:before="120" w:after="0"/>
      </w:pPr>
      <w:r>
        <w:rPr>
          <w:rFonts w:ascii="Arial" w:hAnsi="Arial"/>
          <w:b/>
          <w:sz w:val="24"/>
        </w:rPr>
        <w:t>6.3 Trabalhos Futuros</w:t>
      </w:r>
    </w:p>
    <w:p>
      <w:pPr>
        <w:spacing w:line="360" w:lineRule="auto" w:after="0"/>
        <w:ind w:firstLine="709"/>
      </w:pPr>
      <w:r>
        <w:rPr>
          <w:rFonts w:ascii="Arial" w:hAnsi="Arial"/>
          <w:sz w:val="24"/>
        </w:rPr>
        <w:t>Como extensões naturais deste trabalho, identificam-se: (1) comparação com algoritmos baseados em embeddings, como Word2Vec e modelos transformadores (BERT), que incorporam semântica distribucional; (2) avaliação com dataset multilíngue e de maior volume; (3) análise de performance com escalabilidade em grandes corpora; (4) otimização por técnicas de indexação e caching para ambientes de produção; e (5) extensão da interface para comparação simultânea de múltiplos documentos.</w:t>
      </w:r>
    </w:p>
    <w:p>
      <w:r>
        <w:br w:type="page"/>
      </w:r>
    </w:p>
    <w:p>
      <w:pPr>
        <w:spacing w:line="360" w:lineRule="auto" w:before="360" w:after="0"/>
      </w:pPr>
      <w:r>
        <w:rPr>
          <w:rFonts w:ascii="Arial" w:hAnsi="Arial"/>
          <w:b/>
          <w:sz w:val="24"/>
        </w:rPr>
        <w:t>REFERÊNCIAS</w:t>
      </w:r>
    </w:p>
    <w:p>
      <w:pPr>
        <w:spacing w:line="240" w:lineRule="auto" w:after="120"/>
        <w:ind w:firstLine="0"/>
      </w:pPr>
      <w:r>
        <w:rPr>
          <w:rFonts w:ascii="Arial" w:hAnsi="Arial"/>
          <w:sz w:val="24"/>
        </w:rPr>
        <w:t>BAEZA-YATES, Ricardo A.; RIBEIRO-NETO, Berthier. Modern information retrieval: the concepts and technology behind search. 2. ed. New York: Addison-Wesley, 2011.</w:t>
      </w:r>
    </w:p>
    <w:p>
      <w:pPr>
        <w:spacing w:line="240" w:lineRule="auto" w:after="120"/>
        <w:ind w:firstLine="0"/>
      </w:pPr>
      <w:r>
        <w:rPr>
          <w:rFonts w:ascii="Arial" w:hAnsi="Arial"/>
          <w:sz w:val="24"/>
        </w:rPr>
        <w:t>BIRD, Steven; KLEIN, Ewan; LOPER, Edward. Natural language processing with Python: analyzing text with the natural language toolkit. Sebastopol: O'Reilly Media, 2009.</w:t>
      </w:r>
    </w:p>
    <w:p>
      <w:pPr>
        <w:spacing w:line="240" w:lineRule="auto" w:after="120"/>
        <w:ind w:firstLine="0"/>
      </w:pPr>
      <w:r>
        <w:rPr>
          <w:rFonts w:ascii="Arial" w:hAnsi="Arial"/>
          <w:sz w:val="24"/>
        </w:rPr>
        <w:t>CHAKRABORTY, Tanmoy; SANU, Sebastian; RAY, Sudip. A survey on plagiarism detection techniques. arXiv preprint arXiv:1302.4383, 2013. Disponível em: https://arxiv.org/abs/1302.4383. Acesso em: 20 jul. 2026.</w:t>
      </w:r>
    </w:p>
    <w:p>
      <w:pPr>
        <w:spacing w:line="240" w:lineRule="auto" w:after="120"/>
        <w:ind w:firstLine="0"/>
      </w:pPr>
      <w:r>
        <w:rPr>
          <w:rFonts w:ascii="Arial" w:hAnsi="Arial"/>
          <w:sz w:val="24"/>
        </w:rPr>
        <w:t>GIL, Antônio Carlos. Como elaborar projetos de pesquisa. 5. ed. São Paulo: Atlas, 2010.</w:t>
      </w:r>
    </w:p>
    <w:p>
      <w:pPr>
        <w:spacing w:line="240" w:lineRule="auto" w:after="120"/>
        <w:ind w:firstLine="0"/>
      </w:pPr>
      <w:r>
        <w:rPr>
          <w:rFonts w:ascii="Arial" w:hAnsi="Arial"/>
          <w:sz w:val="24"/>
        </w:rPr>
        <w:t>HUANG, Anna. Similarity measures for text document clustering. In: PROCEEDINGS OF THE SIXTH NEW ZEALAND COMPUTER SCIENCE RESEARCH STUDENT CONFERENCE, 2008, Christchurch. Proceedings... Christchurch: NZCSRSC, 2008. p. 49-56.</w:t>
      </w:r>
    </w:p>
    <w:p>
      <w:pPr>
        <w:spacing w:line="240" w:lineRule="auto" w:after="120"/>
        <w:ind w:firstLine="0"/>
      </w:pPr>
      <w:r>
        <w:rPr>
          <w:rFonts w:ascii="Arial" w:hAnsi="Arial"/>
          <w:sz w:val="24"/>
        </w:rPr>
        <w:t>JACCARD, Paul. The distribution of the flora in the alpine zone. New Phytologist, v. 11, n. 2, p. 37-50, 1912.</w:t>
      </w:r>
    </w:p>
    <w:p>
      <w:pPr>
        <w:spacing w:line="240" w:lineRule="auto" w:after="120"/>
        <w:ind w:firstLine="0"/>
      </w:pPr>
      <w:r>
        <w:rPr>
          <w:rFonts w:ascii="Arial" w:hAnsi="Arial"/>
          <w:sz w:val="24"/>
        </w:rPr>
        <w:t>LEVENSHTEIN, Vladimir I. Binary codes capable of correcting deletions, insertions, and reversals. Soviet Physics Doklady, v. 10, n. 8, p. 707-710, 1966.</w:t>
      </w:r>
    </w:p>
    <w:p>
      <w:pPr>
        <w:spacing w:line="240" w:lineRule="auto" w:after="120"/>
        <w:ind w:firstLine="0"/>
      </w:pPr>
      <w:r>
        <w:rPr>
          <w:rFonts w:ascii="Arial" w:hAnsi="Arial"/>
          <w:sz w:val="24"/>
        </w:rPr>
        <w:t>MANNING, Christopher D.; SCHÜTZE, Hinrich. Foundations of statistical natural language processing. Cambridge: MIT Press, 1999.</w:t>
      </w:r>
    </w:p>
    <w:p>
      <w:pPr>
        <w:spacing w:line="240" w:lineRule="auto" w:after="120"/>
        <w:ind w:firstLine="0"/>
      </w:pPr>
      <w:r>
        <w:rPr>
          <w:rFonts w:ascii="Arial" w:hAnsi="Arial"/>
          <w:sz w:val="24"/>
        </w:rPr>
        <w:t>PORTER, Martin F. An algorithm for suffix stripping. Program: Electronic Library and Information Systems, v. 14, n. 3, p. 130-137, 1980.</w:t>
      </w:r>
    </w:p>
    <w:p>
      <w:pPr>
        <w:spacing w:line="240" w:lineRule="auto" w:after="120"/>
        <w:ind w:firstLine="0"/>
      </w:pPr>
      <w:r>
        <w:rPr>
          <w:rFonts w:ascii="Arial" w:hAnsi="Arial"/>
          <w:sz w:val="24"/>
        </w:rPr>
        <w:t>RISTAD, Eric Sven; YIANILOS, Peter N. Learning string-edit distance. IEEE Transactions on Pattern Analysis and Machine Intelligence, v. 20, n. 5, p. 522-532, 1998.</w:t>
      </w:r>
    </w:p>
    <w:p>
      <w:pPr>
        <w:spacing w:line="240" w:lineRule="auto" w:after="120"/>
        <w:ind w:firstLine="0"/>
      </w:pPr>
      <w:r>
        <w:rPr>
          <w:rFonts w:ascii="Arial" w:hAnsi="Arial"/>
          <w:sz w:val="24"/>
        </w:rPr>
        <w:t>SALTON, Gerard; MCGILL, Michael J. Introduction to modern information retrieval. New York: McGraw-Hill, 1983.</w:t>
      </w:r>
    </w:p>
    <w:p>
      <w:pPr>
        <w:spacing w:line="240" w:lineRule="auto" w:after="120"/>
        <w:ind w:firstLine="0"/>
      </w:pPr>
      <w:r>
        <w:rPr>
          <w:rFonts w:ascii="Arial" w:hAnsi="Arial"/>
          <w:sz w:val="24"/>
        </w:rPr>
        <w:t>SILVA, Luiz Carlos da; MENEZES, Estera Muszkat. Metodologia da pesquisa e elaboração de dissertação. 4. ed. Florianópolis: UFSC, 2005.</w:t>
      </w:r>
    </w:p>
    <w:p>
      <w:pPr>
        <w:spacing w:line="240" w:lineRule="auto" w:after="120"/>
        <w:ind w:firstLine="0"/>
      </w:pPr>
      <w:r>
        <w:rPr>
          <w:rFonts w:ascii="Arial" w:hAnsi="Arial"/>
          <w:sz w:val="24"/>
        </w:rPr>
        <w:t>TF-IDF. In: WIKIPEDIA: the free encyclopedia. [S.l.]: Wikimedia Foundation, 2024. Disponível em: https://en.wikipedia.org/wiki/Tf%E2%80%93idf. Acesso em: 15 jul. 2026.</w:t>
      </w:r>
    </w:p>
    <w:p>
      <w:pPr>
        <w:spacing w:line="240" w:lineRule="auto" w:after="120"/>
        <w:ind w:firstLine="0"/>
      </w:pPr>
      <w:r>
        <w:rPr>
          <w:rFonts w:ascii="Arial" w:hAnsi="Arial"/>
          <w:sz w:val="24"/>
        </w:rPr>
        <w:t>WILBUR, W. John; SIROTKIN, Karl. The automatic identification of stop words. Journal of Information Science, v. 18, n. 1, p. 45-55, 1992.</w:t>
      </w:r>
    </w:p>
    <w:p>
      <w:pPr>
        <w:spacing w:line="240" w:lineRule="auto" w:after="120"/>
        <w:ind w:firstLine="0"/>
      </w:pPr>
      <w:r>
        <w:rPr>
          <w:rFonts w:ascii="Arial" w:hAnsi="Arial"/>
          <w:sz w:val="24"/>
        </w:rPr>
        <w:t>COSINE SIMILARITY. In: WIKIPEDIA: the free encyclopedia. [S.l.]: Wikimedia Foundation, 2024. Disponível em: https://en.wikipedia.org/wiki/Cosine_similarity. Acesso em: 15 jul.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