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36E6" w14:textId="0CA71B7C" w:rsidR="00C02868" w:rsidRDefault="00A52DAF" w:rsidP="00D232E4">
      <w:pPr>
        <w:jc w:val="center"/>
      </w:pPr>
      <w:r>
        <w:t>Dissertation Prospectus: Central Bank Independence and Regulatory Capture</w:t>
      </w:r>
    </w:p>
    <w:p w14:paraId="76C3140E" w14:textId="40766A6C" w:rsidR="00A52DAF" w:rsidRDefault="00A52DAF" w:rsidP="00D232E4">
      <w:pPr>
        <w:jc w:val="center"/>
      </w:pPr>
      <w:r>
        <w:t>Gregory Marchal</w:t>
      </w:r>
    </w:p>
    <w:p w14:paraId="65802ECD" w14:textId="03B30EF2" w:rsidR="00A52DAF" w:rsidRDefault="00A52DAF" w:rsidP="00D232E4">
      <w:pPr>
        <w:jc w:val="center"/>
      </w:pPr>
      <w:r>
        <w:t>3/30/2026</w:t>
      </w:r>
    </w:p>
    <w:p w14:paraId="284BF51B" w14:textId="77B20AE0" w:rsidR="00244DFA" w:rsidRDefault="00244DFA" w:rsidP="00244DFA">
      <w:r>
        <w:t>Basic quandry: Why is it that the JP Morgan CEO is publicly against the ousting of Chair Powell? Under traditional models, shouldn’t finance be able to influence Trump through campaign donations? Why do they want to preserve the current system?</w:t>
      </w:r>
    </w:p>
    <w:p w14:paraId="20EC5B71" w14:textId="7A1D3721" w:rsidR="00481985" w:rsidRDefault="00481985" w:rsidP="00D232E4">
      <w:pPr>
        <w:pStyle w:val="Heading1"/>
        <w:spacing w:before="0" w:after="0"/>
      </w:pPr>
      <w:r>
        <w:t>Introduction, Research Question</w:t>
      </w:r>
    </w:p>
    <w:p w14:paraId="07AA6495" w14:textId="67923A87" w:rsidR="002C5ECA" w:rsidRDefault="00A0124C" w:rsidP="009A0484">
      <w:r>
        <w:tab/>
        <w:t xml:space="preserve">President Trump has made attacking the Federal Reserve a focal point of his economic policy. Yet, he is not alone. Today, central banking receives no shortage of criticisms and critiques. Central bank independence (CBI) refers to a central bank’s ability to conduct monetary policy independently of political influence to achieve its goals (in particular, independently of executive influence). These goals are defined in laws drafted by the legislatures, so, in principle, the goals of monetary policy can be revised. In particular, the price stability component of monetary policy mandates is </w:t>
      </w:r>
      <w:r w:rsidR="00077C15">
        <w:t>i</w:t>
      </w:r>
      <w:r>
        <w:t xml:space="preserve">ngrained in central bank independence. </w:t>
      </w:r>
    </w:p>
    <w:p w14:paraId="16B8BF62" w14:textId="0E49D907" w:rsidR="00D62E2D" w:rsidRPr="009A0484" w:rsidRDefault="00D62E2D" w:rsidP="002C5ECA">
      <w:pPr>
        <w:ind w:firstLine="720"/>
      </w:pPr>
      <w:r>
        <w:t xml:space="preserve">I want my dissertation to ask the following research question: why have legislatures decided not to revise the price stability mandates of central banks once operational independence has been delivered? Why has legislative change governing central banking declined, in particular, relative to other agencies? </w:t>
      </w:r>
    </w:p>
    <w:p w14:paraId="4707C985" w14:textId="3CEE66D9" w:rsidR="00A52DAF" w:rsidRDefault="00375C61" w:rsidP="00D232E4">
      <w:pPr>
        <w:pStyle w:val="Heading1"/>
        <w:spacing w:before="0" w:after="0"/>
      </w:pPr>
      <w:r>
        <w:t>Literature Review and Motivations</w:t>
      </w:r>
    </w:p>
    <w:p w14:paraId="199F447E" w14:textId="5FE96FDA" w:rsidR="00D232E4" w:rsidRDefault="00A52DAF" w:rsidP="00011CB9">
      <w:r>
        <w:t xml:space="preserve">The Federal Reserve was originally meant to be the “banker’s bank,” easing liquidity pressures in the event of a bank run. Its creation was rooted in a negotiation between bankers and politicians (Jacobs and King, 2021). What if, instead of CBI being solely about a gap between </w:t>
      </w:r>
      <w:r>
        <w:lastRenderedPageBreak/>
        <w:t>politician and central bank technocrats, CBI is rooted in a push and pull between the financial sector and politicians? Related to this, there are a couple of important features of independent central banks:</w:t>
      </w:r>
    </w:p>
    <w:p w14:paraId="6C6116A4" w14:textId="3E3729FC" w:rsidR="00EB787D" w:rsidRDefault="00EB787D" w:rsidP="00CB3C10">
      <w:pPr>
        <w:pStyle w:val="ListParagraph"/>
        <w:numPr>
          <w:ilvl w:val="0"/>
          <w:numId w:val="4"/>
        </w:numPr>
      </w:pPr>
      <w:r>
        <w:t>Monetary powers of governments are delegated twice: from the government to the central bank, and the central bank to banks (Downey, 2025). Central banks lie in the middle of this delegation.</w:t>
      </w:r>
    </w:p>
    <w:p w14:paraId="66C9DD86" w14:textId="2D0B9B02" w:rsidR="00EB787D" w:rsidRDefault="00EB787D" w:rsidP="00CB3C10">
      <w:pPr>
        <w:pStyle w:val="ListParagraph"/>
        <w:numPr>
          <w:ilvl w:val="0"/>
          <w:numId w:val="4"/>
        </w:numPr>
      </w:pPr>
      <w:r>
        <w:t xml:space="preserve">Central bankers are not “unbiased” technocrats (Adolph, 2018). There is some evidence suggesting central bankers with ties to finance are more likely to support deregulatory policies, as an example (Wirsching, 2018). </w:t>
      </w:r>
    </w:p>
    <w:p w14:paraId="301ED560" w14:textId="68034284" w:rsidR="00A52DAF" w:rsidRDefault="00A52DAF" w:rsidP="00CB3C10">
      <w:pPr>
        <w:pStyle w:val="ListParagraph"/>
        <w:numPr>
          <w:ilvl w:val="0"/>
          <w:numId w:val="4"/>
        </w:numPr>
      </w:pPr>
      <w:r>
        <w:t xml:space="preserve">Most justifications for CBI today deal with credible commitment, arguing that an independent central bank will stop politicians from implementing excess expansionary monetary </w:t>
      </w:r>
      <w:r w:rsidR="00077C15">
        <w:t xml:space="preserve">policy </w:t>
      </w:r>
      <w:r>
        <w:t>to stimulate short-term growth (at the expense of long-term inflation) or pay off government debts (Drazen, 2002</w:t>
      </w:r>
      <w:r w:rsidR="003E588C">
        <w:t>; Barro and Gordon, 1983; Kydland and Prescott, 1977</w:t>
      </w:r>
      <w:r>
        <w:t xml:space="preserve">). Price stability is thus at the core of justifications for central bank independence. </w:t>
      </w:r>
    </w:p>
    <w:p w14:paraId="0A2E046B" w14:textId="2150207D" w:rsidR="00F73617" w:rsidRDefault="00B248E0" w:rsidP="00D232E4">
      <w:pPr>
        <w:pStyle w:val="ListParagraph"/>
        <w:numPr>
          <w:ilvl w:val="0"/>
          <w:numId w:val="4"/>
        </w:numPr>
      </w:pPr>
      <w:r>
        <w:t>Growth in the financial sector is a key driver of inequality (Stiglitz, 2013). It has progressively grown as a percent of GDP since the 1950s, but wages for financiers skyrocketed beginning in 1980 (Krugman, 2025).</w:t>
      </w:r>
    </w:p>
    <w:p w14:paraId="4EA28869" w14:textId="76C18D0F" w:rsidR="007C0BE2" w:rsidRPr="00A52DAF" w:rsidRDefault="007C0BE2" w:rsidP="00A352A2">
      <w:pPr>
        <w:ind w:firstLine="360"/>
      </w:pPr>
      <w:r>
        <w:t xml:space="preserve">Given the timing of these issues, it’s worth studying the relationship between central bank independence </w:t>
      </w:r>
      <w:r w:rsidR="00C67271">
        <w:t>and the growth in finance.</w:t>
      </w:r>
    </w:p>
    <w:p w14:paraId="432470CE" w14:textId="3EA887DC" w:rsidR="00A52DAF" w:rsidRDefault="0032542D" w:rsidP="00D232E4">
      <w:pPr>
        <w:pStyle w:val="Heading1"/>
        <w:spacing w:before="0" w:after="0"/>
      </w:pPr>
      <w:r>
        <w:t>Measuring CBI</w:t>
      </w:r>
    </w:p>
    <w:p w14:paraId="65FD8724" w14:textId="651C6631" w:rsidR="00403681" w:rsidRDefault="00A52DAF" w:rsidP="00A352A2">
      <w:pPr>
        <w:ind w:firstLine="360"/>
      </w:pPr>
      <w:r>
        <w:t xml:space="preserve">Measuring central bank independence is difficult. The only systematic way the literature measures CBI is through “de jure CBI indices,” which evaluate the legal frameworks governing CBI. While these measures create global datasets, there are several problems. Indices measure </w:t>
      </w:r>
      <w:r>
        <w:lastRenderedPageBreak/>
        <w:t>independence on a “spectrum,” but this is pragmatically difficult. As an example, in 2023, the indices produced by Cukierman et al. (1992), Romelli (2022), and Grilli et al. (1991) all show the US as having lower CBI than Turkey. In particular, Romelli (2022) penalises Federal Reserve independence in their index because their political mandate includes more than just price stability. These indices are widely used in the literature for empirical analysis on the effect of CBI on things like price stability. Note that modern US central bank independence began with Volcker’s appointment to the Fed in 1979. While the dual mandate was implemented in 1977, this change meant little operationally (Downey, 2025). Instead, Volcker’s appointment represented a paradigm shift widely accepted by markets. De jure CBI indices require a change in law to change their value. Thus, Volcker’s appointment did not show up in CBI indices.</w:t>
      </w:r>
    </w:p>
    <w:p w14:paraId="45CEB2A9" w14:textId="6BA3B3BB" w:rsidR="00403681" w:rsidRDefault="0034632D" w:rsidP="0034632D">
      <w:pPr>
        <w:pStyle w:val="Heading1"/>
      </w:pPr>
      <w:r>
        <w:t>Research Direction and Challenges</w:t>
      </w:r>
    </w:p>
    <w:p w14:paraId="52F32480" w14:textId="0A8C7A4B" w:rsidR="0049009A" w:rsidRDefault="00695E81" w:rsidP="008C2994">
      <w:pPr>
        <w:ind w:firstLine="720"/>
      </w:pPr>
      <w:r>
        <w:t>Consider a simple thought experiment. What would happen if Congress removed the price stability component from the Fed’s mandate (meaning, the legal text for the Fed’s objectives would be “…the goals of maximum employment and moderate long-term interest rates”). Assume that no other legal actions were taken, meaning that operational independence was fully maintained. Technocrats at the Fed could principally avoid keeping interest rates too low, thereby creating an inflationary cycle that damages their ability to maintain “moderate long-term interest rates.” Still, there would be a stronger emphasis on the employment component of their mandate, so they’d accept moderate inflation. The initial response to such a Congressional action would almost certainly be a spike in volatility in financial markets. Banks have already voiced their frustrations about President Trump’s attempts to erode CBI, and financial market instability spiked.</w:t>
      </w:r>
    </w:p>
    <w:p w14:paraId="74BB7F72" w14:textId="5D20646E" w:rsidR="0049009A" w:rsidRDefault="0034632D" w:rsidP="002050BA">
      <w:pPr>
        <w:ind w:firstLine="720"/>
      </w:pPr>
      <w:r>
        <w:lastRenderedPageBreak/>
        <w:t xml:space="preserve">I want to build a model that explains why central bank independence results in the goals of monetary policy being difficult to change. To do this, I argue that CBI is a form of “structural” regulatory capture. Price stability mandates were adopted following the global wave of inflation in the 1970s. Financial institutions (particularly large ones) have profited from the stable price regime through two core channels. First, the value of fixed interest rate assets declines if inflation rises. Thus, banks, whose assets generally have longer maturity durations (loans like mortgages) than their liability side (deposits) can be hurt. However, if interest rates are too low (in an environment of low inflation), banks may actually be hurt by the compression of the interest rate spread. More importantly, banks benefit significantly with predictability and credibility by lessening the risk regarding the longer maturity assets. </w:t>
      </w:r>
    </w:p>
    <w:p w14:paraId="124659BA" w14:textId="6984AE89" w:rsidR="00672610" w:rsidRDefault="00E0308D" w:rsidP="00672610">
      <w:pPr>
        <w:ind w:firstLine="720"/>
      </w:pPr>
      <w:r>
        <w:t>As finance has grown relative to the size of the economy, its importance also grows. Today, the economy is more reliant than ever before (since WWII) on readily available credit. As this reliance grows, so too do the consequences of instability and change. Lindblom (1982) argues that the market can serve as</w:t>
      </w:r>
      <w:r w:rsidR="00F322A1">
        <w:t xml:space="preserve"> a</w:t>
      </w:r>
      <w:r>
        <w:t xml:space="preserve"> prison, where reform attempts are limited by the threat of damage to the broader economy. I believe this analogy applies directly to finance and monetary policy. </w:t>
      </w:r>
      <w:r w:rsidR="00471606">
        <w:t xml:space="preserve">This theory complements previous work by Dellepiane-Avellaneda (2013) and Crowe (2008) that argue that the delegation of monetary policy can be interpreted as a political decision. Additionally, Posen (1995) contends that CBI is supported by the financial sector. </w:t>
      </w:r>
    </w:p>
    <w:p w14:paraId="4FF8A264" w14:textId="3984E02F" w:rsidR="005A1563" w:rsidRDefault="00672610" w:rsidP="00672610">
      <w:pPr>
        <w:ind w:firstLine="720"/>
      </w:pPr>
      <w:r>
        <w:t>Methodologically, I could go in two directions. First, I could emphasize the difficulties in measuring CBI by indices, and I could propose a new methodology of “regime change” where central banks emphasize a price stability mandate. I could also use the Fed as a case study and build a qualitative model. I need to do more research on such qualitative methodology, given my lack of experience.</w:t>
      </w:r>
      <w:r>
        <w:br w:type="page"/>
      </w:r>
    </w:p>
    <w:p w14:paraId="7D5F738C" w14:textId="51E0CE20" w:rsidR="005A1563" w:rsidRDefault="005A1563" w:rsidP="005A1563">
      <w:pPr>
        <w:jc w:val="center"/>
      </w:pPr>
      <w:r>
        <w:lastRenderedPageBreak/>
        <w:t>References</w:t>
      </w:r>
    </w:p>
    <w:p w14:paraId="31F7868F"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Adolph, Christopher. 2018. “The Missing Politics of Central Banks.” </w:t>
      </w:r>
      <w:r>
        <w:rPr>
          <w:rFonts w:eastAsia="Times New Roman"/>
          <w:i/>
          <w:iCs/>
          <w:lang w:eastAsia="en-GB"/>
        </w:rPr>
        <w:t>PS: Political Science &amp; Politics</w:t>
      </w:r>
      <w:r>
        <w:rPr>
          <w:rFonts w:eastAsia="Times New Roman"/>
          <w:lang w:eastAsia="en-GB"/>
        </w:rPr>
        <w:t xml:space="preserve"> 51 (4): 737–42. https://doi.org/10.1017/S1049096518000847.</w:t>
      </w:r>
    </w:p>
    <w:p w14:paraId="7FF1E4B3"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Barro, Robert J., and David B. Gordon. 1983. “Rules, Discretion and Reputation in a Model of Monetary Policy.” </w:t>
      </w:r>
      <w:r>
        <w:rPr>
          <w:rFonts w:eastAsia="Times New Roman"/>
          <w:i/>
          <w:iCs/>
          <w:lang w:eastAsia="en-GB"/>
        </w:rPr>
        <w:t>Journal of Monetary Economics</w:t>
      </w:r>
      <w:r>
        <w:rPr>
          <w:rFonts w:eastAsia="Times New Roman"/>
          <w:lang w:eastAsia="en-GB"/>
        </w:rPr>
        <w:t xml:space="preserve"> 12 (1): 101–21. https://doi.org/10.1016/0304-3932(83)90051-X.</w:t>
      </w:r>
    </w:p>
    <w:p w14:paraId="7DDFB58A" w14:textId="0EC94842"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Crowe, Christopher. 2008. “Goal Independent Central Banks: Why Politicians Decide to Delegate.” </w:t>
      </w:r>
      <w:r>
        <w:rPr>
          <w:rFonts w:eastAsia="Times New Roman"/>
          <w:i/>
          <w:iCs/>
          <w:lang w:eastAsia="en-GB"/>
        </w:rPr>
        <w:t>European Journal of Political Economy</w:t>
      </w:r>
      <w:r w:rsidR="00C3505D">
        <w:rPr>
          <w:rFonts w:eastAsia="Times New Roman"/>
          <w:lang w:eastAsia="en-GB"/>
        </w:rPr>
        <w:t xml:space="preserve"> </w:t>
      </w:r>
      <w:r>
        <w:rPr>
          <w:rFonts w:eastAsia="Times New Roman"/>
          <w:lang w:eastAsia="en-GB"/>
        </w:rPr>
        <w:t>24 (4): 748–62. https://doi.org/10.1016/j.ejpoleco.2008.05.002.</w:t>
      </w:r>
    </w:p>
    <w:p w14:paraId="0A445B8F"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Cukierman, Alex, Steven B. Webb, and Bilin Neyapti. 1992. “Measuring the Independence of Central Banks and Its Effect on Policy Outcomes.” </w:t>
      </w:r>
      <w:r>
        <w:rPr>
          <w:rFonts w:eastAsia="Times New Roman"/>
          <w:i/>
          <w:iCs/>
          <w:lang w:eastAsia="en-GB"/>
        </w:rPr>
        <w:t>The World Bank Economic Review</w:t>
      </w:r>
      <w:r>
        <w:rPr>
          <w:rFonts w:eastAsia="Times New Roman"/>
          <w:lang w:eastAsia="en-GB"/>
        </w:rPr>
        <w:t xml:space="preserve"> 6 (3): 353–98. https://doi.org/10.1093/wber/6.3.353.</w:t>
      </w:r>
    </w:p>
    <w:p w14:paraId="7B792A21"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Dellepiane-Avellaneda, Sebastian. 2013. “Gordon Unbound: The Heresthetic of Central Bank Independence in Britain.” </w:t>
      </w:r>
      <w:r>
        <w:rPr>
          <w:rFonts w:eastAsia="Times New Roman"/>
          <w:i/>
          <w:iCs/>
          <w:lang w:eastAsia="en-GB"/>
        </w:rPr>
        <w:t>British Journal of Political Science</w:t>
      </w:r>
      <w:r>
        <w:rPr>
          <w:rFonts w:eastAsia="Times New Roman"/>
          <w:lang w:eastAsia="en-GB"/>
        </w:rPr>
        <w:t xml:space="preserve"> 43 (2): 263–93. https://doi.org/10.1017/S0007123412000221.</w:t>
      </w:r>
    </w:p>
    <w:p w14:paraId="72522221"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Downey, Leah. 2025. </w:t>
      </w:r>
      <w:r>
        <w:rPr>
          <w:rFonts w:eastAsia="Times New Roman"/>
          <w:i/>
          <w:iCs/>
          <w:lang w:eastAsia="en-GB"/>
        </w:rPr>
        <w:t>Our Money: Monetary Policy as If Democracy Matters</w:t>
      </w:r>
      <w:r>
        <w:rPr>
          <w:rFonts w:eastAsia="Times New Roman"/>
          <w:lang w:eastAsia="en-GB"/>
        </w:rPr>
        <w:t>. Princeton University Press. https://doi.org/10.2307/jj.16040336.</w:t>
      </w:r>
    </w:p>
    <w:p w14:paraId="53F44CCA" w14:textId="0E029980"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Drazen, Allan. 2002. “</w:t>
      </w:r>
      <w:r w:rsidR="00C3505D">
        <w:rPr>
          <w:rFonts w:eastAsia="Times New Roman"/>
          <w:lang w:eastAsia="en-GB"/>
        </w:rPr>
        <w:t>Central Bank Independence, Democracy, and Dollarization</w:t>
      </w:r>
      <w:r>
        <w:rPr>
          <w:rFonts w:eastAsia="Times New Roman"/>
          <w:lang w:eastAsia="en-GB"/>
        </w:rPr>
        <w:t xml:space="preserve">.” </w:t>
      </w:r>
      <w:r>
        <w:rPr>
          <w:rFonts w:eastAsia="Times New Roman"/>
          <w:i/>
          <w:iCs/>
          <w:lang w:eastAsia="en-GB"/>
        </w:rPr>
        <w:t>Journal of Applied Economics</w:t>
      </w:r>
      <w:r>
        <w:rPr>
          <w:rFonts w:eastAsia="Times New Roman"/>
          <w:lang w:eastAsia="en-GB"/>
        </w:rPr>
        <w:t xml:space="preserve"> 5 (1): 1–28. https://doi.org/10.1080/15140326.2002.12040569.</w:t>
      </w:r>
    </w:p>
    <w:p w14:paraId="5E32C483"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Grilli, Vittorio, Donato Masciandaro, and Guido Tabellini. 1991. “Political and Monetary Institutions and Public Financial Policies in the Industrial Countries.” </w:t>
      </w:r>
      <w:r>
        <w:rPr>
          <w:rFonts w:eastAsia="Times New Roman"/>
          <w:i/>
          <w:iCs/>
          <w:lang w:eastAsia="en-GB"/>
        </w:rPr>
        <w:t>Economic Policy</w:t>
      </w:r>
      <w:r>
        <w:rPr>
          <w:rFonts w:eastAsia="Times New Roman"/>
          <w:lang w:eastAsia="en-GB"/>
        </w:rPr>
        <w:t xml:space="preserve"> 6 (13): 341–92. https://doi.org/10.2307/1344630.</w:t>
      </w:r>
    </w:p>
    <w:p w14:paraId="5CA9BB57"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Jacobs, Lawrence, and Desmond King. 2021. </w:t>
      </w:r>
      <w:r>
        <w:rPr>
          <w:rFonts w:eastAsia="Times New Roman"/>
          <w:i/>
          <w:iCs/>
          <w:lang w:eastAsia="en-GB"/>
        </w:rPr>
        <w:t>Fed Power: How Finance Wins</w:t>
      </w:r>
      <w:r>
        <w:rPr>
          <w:rFonts w:eastAsia="Times New Roman"/>
          <w:lang w:eastAsia="en-GB"/>
        </w:rPr>
        <w:t xml:space="preserve">. 2nd ed. Oxford </w:t>
      </w:r>
      <w:r>
        <w:rPr>
          <w:rFonts w:eastAsia="Times New Roman"/>
          <w:lang w:eastAsia="en-GB"/>
        </w:rPr>
        <w:lastRenderedPageBreak/>
        <w:t>University Press.</w:t>
      </w:r>
    </w:p>
    <w:p w14:paraId="7684EC11"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Krugman, Paul. 2025. “Predatory Financialization, Understanding Inequality: Part V.” </w:t>
      </w:r>
      <w:r>
        <w:rPr>
          <w:rFonts w:eastAsia="Times New Roman"/>
          <w:i/>
          <w:iCs/>
          <w:lang w:eastAsia="en-GB"/>
        </w:rPr>
        <w:t>Stone Center on Socio-Economic Inequality</w:t>
      </w:r>
      <w:r>
        <w:rPr>
          <w:rFonts w:eastAsia="Times New Roman"/>
          <w:lang w:eastAsia="en-GB"/>
        </w:rPr>
        <w:t>, August 4. https://stonecenter.gc.cuny.edu/predatory-financialization-paul-krugman-understanding-inequality-part-v/.</w:t>
      </w:r>
    </w:p>
    <w:p w14:paraId="646144DB"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Kydland, Finn E., and Edward C. Prescott. 1977. “Rules Rather than Discretion: The Inconsistency of Optimal Plans.” </w:t>
      </w:r>
      <w:r>
        <w:rPr>
          <w:rFonts w:eastAsia="Times New Roman"/>
          <w:i/>
          <w:iCs/>
          <w:lang w:eastAsia="en-GB"/>
        </w:rPr>
        <w:t>Journal of Political Economy</w:t>
      </w:r>
      <w:r>
        <w:rPr>
          <w:rFonts w:eastAsia="Times New Roman"/>
          <w:lang w:eastAsia="en-GB"/>
        </w:rPr>
        <w:t xml:space="preserve"> 85 (3): 473–91.</w:t>
      </w:r>
    </w:p>
    <w:p w14:paraId="029B68FE"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Lindblom, Charles E. 1982. “The Market as Prison.” </w:t>
      </w:r>
      <w:r>
        <w:rPr>
          <w:rFonts w:eastAsia="Times New Roman"/>
          <w:i/>
          <w:iCs/>
          <w:lang w:eastAsia="en-GB"/>
        </w:rPr>
        <w:t>The Journal of Politics</w:t>
      </w:r>
      <w:r>
        <w:rPr>
          <w:rFonts w:eastAsia="Times New Roman"/>
          <w:lang w:eastAsia="en-GB"/>
        </w:rPr>
        <w:t xml:space="preserve"> 44 (2): 324–36. https://doi.org/10.2307/2130588.</w:t>
      </w:r>
    </w:p>
    <w:p w14:paraId="1F178D2D"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Posen, Adam S. 1995. “Declarations Are Not Enough: Financial Sector Sources of Central Bank Independence.” </w:t>
      </w:r>
      <w:r>
        <w:rPr>
          <w:rFonts w:eastAsia="Times New Roman"/>
          <w:i/>
          <w:iCs/>
          <w:lang w:eastAsia="en-GB"/>
        </w:rPr>
        <w:t>NBER Macroeconomics Annual</w:t>
      </w:r>
      <w:r>
        <w:rPr>
          <w:rFonts w:eastAsia="Times New Roman"/>
          <w:lang w:eastAsia="en-GB"/>
        </w:rPr>
        <w:t xml:space="preserve"> 10 (January): 253–74. https://doi.org/10.1086/654279.</w:t>
      </w:r>
    </w:p>
    <w:p w14:paraId="658FB3F7"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Romelli, Davide. 2022. “The Political Economy of Reforms in Central Bank Design: Evidence from a New Dataset.” </w:t>
      </w:r>
      <w:r>
        <w:rPr>
          <w:rFonts w:eastAsia="Times New Roman"/>
          <w:i/>
          <w:iCs/>
          <w:lang w:eastAsia="en-GB"/>
        </w:rPr>
        <w:t>Economic Policy</w:t>
      </w:r>
      <w:r>
        <w:rPr>
          <w:rFonts w:eastAsia="Times New Roman"/>
          <w:lang w:eastAsia="en-GB"/>
        </w:rPr>
        <w:t xml:space="preserve"> 37 (112): 641–88. https://doi.org/10.1093/epolic/eiac011.</w:t>
      </w:r>
    </w:p>
    <w:p w14:paraId="54F7F98C"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Stiglitz, Joseph. 2013. </w:t>
      </w:r>
      <w:r>
        <w:rPr>
          <w:rFonts w:eastAsia="Times New Roman"/>
          <w:i/>
          <w:iCs/>
          <w:lang w:eastAsia="en-GB"/>
        </w:rPr>
        <w:t>The Price of Inequality</w:t>
      </w:r>
      <w:r>
        <w:rPr>
          <w:rFonts w:eastAsia="Times New Roman"/>
          <w:lang w:eastAsia="en-GB"/>
        </w:rPr>
        <w:t>. Allen Lane.</w:t>
      </w:r>
    </w:p>
    <w:p w14:paraId="482D6280" w14:textId="77777777" w:rsidR="005A1563" w:rsidRPr="005A1563" w:rsidRDefault="005A1563" w:rsidP="005A1563">
      <w:pPr>
        <w:widowControl w:val="0"/>
        <w:autoSpaceDE w:val="0"/>
        <w:autoSpaceDN w:val="0"/>
        <w:adjustRightInd w:val="0"/>
        <w:ind w:left="720" w:hanging="720"/>
        <w:rPr>
          <w:rFonts w:eastAsia="Times New Roman"/>
          <w:lang w:eastAsia="en-GB"/>
        </w:rPr>
      </w:pPr>
      <w:r>
        <w:rPr>
          <w:rFonts w:eastAsia="Times New Roman"/>
          <w:lang w:eastAsia="en-GB"/>
        </w:rPr>
        <w:t xml:space="preserve">Wirsching, Elisa. 2018. </w:t>
      </w:r>
      <w:r>
        <w:rPr>
          <w:rFonts w:eastAsia="Times New Roman"/>
          <w:i/>
          <w:iCs/>
          <w:lang w:eastAsia="en-GB"/>
        </w:rPr>
        <w:t>The Revolving Door for Political Elites: Policymakers’ Professional Background and Financial Regulation</w:t>
      </w:r>
      <w:r>
        <w:rPr>
          <w:rFonts w:eastAsia="Times New Roman"/>
          <w:lang w:eastAsia="en-GB"/>
        </w:rPr>
        <w:t>. Working Paper 222. European Bank for Reconstruction and Development. https://www.ebrd.com/home/news-and-events/publications/economics/working-papers/revolving-door-for-political-elites.html#.</w:t>
      </w:r>
    </w:p>
    <w:p w14:paraId="02CB53D6" w14:textId="77777777" w:rsidR="005A1563" w:rsidRDefault="005A1563" w:rsidP="005A1563"/>
    <w:p w14:paraId="5AF6A1D6" w14:textId="062D51E5" w:rsidR="00A52DAF" w:rsidRPr="00A52DAF" w:rsidRDefault="00A52DAF" w:rsidP="00D232E4">
      <w:r>
        <w:t xml:space="preserve"> </w:t>
      </w:r>
    </w:p>
    <w:sectPr w:rsidR="00A52DAF" w:rsidRPr="00A52DAF" w:rsidSect="004A74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49BA2" w14:textId="77777777" w:rsidR="003A6C48" w:rsidRDefault="003A6C48" w:rsidP="00011CB9">
      <w:pPr>
        <w:spacing w:line="240" w:lineRule="auto"/>
      </w:pPr>
      <w:r>
        <w:separator/>
      </w:r>
    </w:p>
  </w:endnote>
  <w:endnote w:type="continuationSeparator" w:id="0">
    <w:p w14:paraId="0DC6ACEF" w14:textId="77777777" w:rsidR="003A6C48" w:rsidRDefault="003A6C48" w:rsidP="00011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7A2C8" w14:textId="77777777" w:rsidR="003A6C48" w:rsidRDefault="003A6C48" w:rsidP="00011CB9">
      <w:pPr>
        <w:spacing w:line="240" w:lineRule="auto"/>
      </w:pPr>
      <w:r>
        <w:separator/>
      </w:r>
    </w:p>
  </w:footnote>
  <w:footnote w:type="continuationSeparator" w:id="0">
    <w:p w14:paraId="3708A6BC" w14:textId="77777777" w:rsidR="003A6C48" w:rsidRDefault="003A6C48" w:rsidP="00011C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684"/>
    <w:multiLevelType w:val="hybridMultilevel"/>
    <w:tmpl w:val="9A9CFB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D9438D"/>
    <w:multiLevelType w:val="hybridMultilevel"/>
    <w:tmpl w:val="A43E59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8083DA9"/>
    <w:multiLevelType w:val="hybridMultilevel"/>
    <w:tmpl w:val="5E4E6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D145D0A"/>
    <w:multiLevelType w:val="hybridMultilevel"/>
    <w:tmpl w:val="0D8293A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E642FEA"/>
    <w:multiLevelType w:val="hybridMultilevel"/>
    <w:tmpl w:val="743239B2"/>
    <w:lvl w:ilvl="0" w:tplc="0409000F">
      <w:start w:val="1"/>
      <w:numFmt w:val="decimal"/>
      <w:lvlText w:val="%1."/>
      <w:lvlJc w:val="left"/>
      <w:pPr>
        <w:ind w:left="720" w:hanging="360"/>
      </w:pPr>
    </w:lvl>
    <w:lvl w:ilvl="1" w:tplc="E7C4D0E6">
      <w:start w:val="1"/>
      <w:numFmt w:val="decimal"/>
      <w:lvlText w:val="%2."/>
      <w:lvlJc w:val="left"/>
      <w:pPr>
        <w:ind w:left="1440" w:hanging="360"/>
      </w:pPr>
      <w:rPr>
        <w:rFonts w:ascii="Times New Roman" w:eastAsiaTheme="minorHAnsi" w:hAnsi="Times New Roman" w:cs="Times New Roman"/>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A5730CF"/>
    <w:multiLevelType w:val="hybridMultilevel"/>
    <w:tmpl w:val="56FC5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6455252">
    <w:abstractNumId w:val="2"/>
  </w:num>
  <w:num w:numId="2" w16cid:durableId="131336602">
    <w:abstractNumId w:val="3"/>
  </w:num>
  <w:num w:numId="3" w16cid:durableId="1907764453">
    <w:abstractNumId w:val="5"/>
  </w:num>
  <w:num w:numId="4" w16cid:durableId="214892879">
    <w:abstractNumId w:val="4"/>
  </w:num>
  <w:num w:numId="5" w16cid:durableId="804272246">
    <w:abstractNumId w:val="1"/>
  </w:num>
  <w:num w:numId="6" w16cid:durableId="64739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000"/>
    <w:rsid w:val="00011CB9"/>
    <w:rsid w:val="00023099"/>
    <w:rsid w:val="00026325"/>
    <w:rsid w:val="00045000"/>
    <w:rsid w:val="00065CEE"/>
    <w:rsid w:val="00070686"/>
    <w:rsid w:val="00077C15"/>
    <w:rsid w:val="0013388B"/>
    <w:rsid w:val="001611C2"/>
    <w:rsid w:val="0016315E"/>
    <w:rsid w:val="001649D5"/>
    <w:rsid w:val="00176FAD"/>
    <w:rsid w:val="0018183A"/>
    <w:rsid w:val="001C008B"/>
    <w:rsid w:val="001C1895"/>
    <w:rsid w:val="001C68C6"/>
    <w:rsid w:val="001D5289"/>
    <w:rsid w:val="002050BA"/>
    <w:rsid w:val="00244DFA"/>
    <w:rsid w:val="00270C5E"/>
    <w:rsid w:val="002C5ECA"/>
    <w:rsid w:val="00306ABE"/>
    <w:rsid w:val="0032542D"/>
    <w:rsid w:val="0034632D"/>
    <w:rsid w:val="00357B8B"/>
    <w:rsid w:val="00375C61"/>
    <w:rsid w:val="003A6C48"/>
    <w:rsid w:val="003C16E2"/>
    <w:rsid w:val="003E588C"/>
    <w:rsid w:val="00403681"/>
    <w:rsid w:val="004225C0"/>
    <w:rsid w:val="00471606"/>
    <w:rsid w:val="00481985"/>
    <w:rsid w:val="0049009A"/>
    <w:rsid w:val="004A7497"/>
    <w:rsid w:val="005537E9"/>
    <w:rsid w:val="00560440"/>
    <w:rsid w:val="00590A98"/>
    <w:rsid w:val="005A1563"/>
    <w:rsid w:val="00672610"/>
    <w:rsid w:val="00673419"/>
    <w:rsid w:val="00695E81"/>
    <w:rsid w:val="007C0BE2"/>
    <w:rsid w:val="00813F96"/>
    <w:rsid w:val="00884A62"/>
    <w:rsid w:val="008C2994"/>
    <w:rsid w:val="00901F8F"/>
    <w:rsid w:val="009239E8"/>
    <w:rsid w:val="00984C07"/>
    <w:rsid w:val="009A0484"/>
    <w:rsid w:val="00A0124C"/>
    <w:rsid w:val="00A352A2"/>
    <w:rsid w:val="00A52DAF"/>
    <w:rsid w:val="00A76FA5"/>
    <w:rsid w:val="00AA4CBC"/>
    <w:rsid w:val="00AB4081"/>
    <w:rsid w:val="00AF1778"/>
    <w:rsid w:val="00B01762"/>
    <w:rsid w:val="00B248E0"/>
    <w:rsid w:val="00BB63CF"/>
    <w:rsid w:val="00BD67F8"/>
    <w:rsid w:val="00C02868"/>
    <w:rsid w:val="00C2455D"/>
    <w:rsid w:val="00C3505D"/>
    <w:rsid w:val="00C41FBC"/>
    <w:rsid w:val="00C465A1"/>
    <w:rsid w:val="00C67271"/>
    <w:rsid w:val="00C7232D"/>
    <w:rsid w:val="00C73100"/>
    <w:rsid w:val="00CB3C10"/>
    <w:rsid w:val="00D232E4"/>
    <w:rsid w:val="00D62E2D"/>
    <w:rsid w:val="00D85D56"/>
    <w:rsid w:val="00DE4C12"/>
    <w:rsid w:val="00E0308D"/>
    <w:rsid w:val="00EB787D"/>
    <w:rsid w:val="00EF0965"/>
    <w:rsid w:val="00F322A1"/>
    <w:rsid w:val="00F73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A0BE"/>
  <w15:chartTrackingRefBased/>
  <w15:docId w15:val="{D321EE45-8808-42A0-B392-FBBB404E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GB"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0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0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0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0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0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000"/>
    <w:rPr>
      <w:rFonts w:eastAsiaTheme="majorEastAsia" w:cstheme="majorBidi"/>
      <w:color w:val="272727" w:themeColor="text1" w:themeTint="D8"/>
    </w:rPr>
  </w:style>
  <w:style w:type="paragraph" w:styleId="Title">
    <w:name w:val="Title"/>
    <w:basedOn w:val="Normal"/>
    <w:next w:val="Normal"/>
    <w:link w:val="TitleChar"/>
    <w:uiPriority w:val="10"/>
    <w:qFormat/>
    <w:rsid w:val="0004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0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0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5000"/>
    <w:rPr>
      <w:i/>
      <w:iCs/>
      <w:color w:val="404040" w:themeColor="text1" w:themeTint="BF"/>
    </w:rPr>
  </w:style>
  <w:style w:type="paragraph" w:styleId="ListParagraph">
    <w:name w:val="List Paragraph"/>
    <w:basedOn w:val="Normal"/>
    <w:uiPriority w:val="34"/>
    <w:qFormat/>
    <w:rsid w:val="00045000"/>
    <w:pPr>
      <w:ind w:left="720"/>
      <w:contextualSpacing/>
    </w:pPr>
  </w:style>
  <w:style w:type="character" w:styleId="IntenseEmphasis">
    <w:name w:val="Intense Emphasis"/>
    <w:basedOn w:val="DefaultParagraphFont"/>
    <w:uiPriority w:val="21"/>
    <w:qFormat/>
    <w:rsid w:val="00045000"/>
    <w:rPr>
      <w:i/>
      <w:iCs/>
      <w:color w:val="2F5496" w:themeColor="accent1" w:themeShade="BF"/>
    </w:rPr>
  </w:style>
  <w:style w:type="paragraph" w:styleId="IntenseQuote">
    <w:name w:val="Intense Quote"/>
    <w:basedOn w:val="Normal"/>
    <w:next w:val="Normal"/>
    <w:link w:val="IntenseQuoteChar"/>
    <w:uiPriority w:val="30"/>
    <w:qFormat/>
    <w:rsid w:val="00045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000"/>
    <w:rPr>
      <w:i/>
      <w:iCs/>
      <w:color w:val="2F5496" w:themeColor="accent1" w:themeShade="BF"/>
    </w:rPr>
  </w:style>
  <w:style w:type="character" w:styleId="IntenseReference">
    <w:name w:val="Intense Reference"/>
    <w:basedOn w:val="DefaultParagraphFont"/>
    <w:uiPriority w:val="32"/>
    <w:qFormat/>
    <w:rsid w:val="00045000"/>
    <w:rPr>
      <w:b/>
      <w:bCs/>
      <w:smallCaps/>
      <w:color w:val="2F5496" w:themeColor="accent1" w:themeShade="BF"/>
      <w:spacing w:val="5"/>
    </w:rPr>
  </w:style>
  <w:style w:type="paragraph" w:styleId="FootnoteText">
    <w:name w:val="footnote text"/>
    <w:basedOn w:val="Normal"/>
    <w:link w:val="FootnoteTextChar"/>
    <w:uiPriority w:val="99"/>
    <w:semiHidden/>
    <w:unhideWhenUsed/>
    <w:rsid w:val="00011CB9"/>
    <w:pPr>
      <w:spacing w:line="240" w:lineRule="auto"/>
    </w:pPr>
    <w:rPr>
      <w:sz w:val="20"/>
      <w:szCs w:val="20"/>
    </w:rPr>
  </w:style>
  <w:style w:type="character" w:customStyle="1" w:styleId="FootnoteTextChar">
    <w:name w:val="Footnote Text Char"/>
    <w:basedOn w:val="DefaultParagraphFont"/>
    <w:link w:val="FootnoteText"/>
    <w:uiPriority w:val="99"/>
    <w:semiHidden/>
    <w:rsid w:val="00011CB9"/>
    <w:rPr>
      <w:sz w:val="20"/>
      <w:szCs w:val="20"/>
    </w:rPr>
  </w:style>
  <w:style w:type="character" w:styleId="FootnoteReference">
    <w:name w:val="footnote reference"/>
    <w:basedOn w:val="DefaultParagraphFont"/>
    <w:uiPriority w:val="99"/>
    <w:semiHidden/>
    <w:unhideWhenUsed/>
    <w:rsid w:val="00011C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BAFFC-A1DD-4DD9-B788-BBBAF79E9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6</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Marchal, Gregory</dc:creator>
  <cp:keywords/>
  <dc:description/>
  <cp:lastModifiedBy>Marchal, Gregory</cp:lastModifiedBy>
  <cp:revision>54</cp:revision>
  <dcterms:created xsi:type="dcterms:W3CDTF">2026-03-28T12:34:00Z</dcterms:created>
  <dcterms:modified xsi:type="dcterms:W3CDTF">2026-03-31T10:31:00Z</dcterms:modified>
</cp:coreProperties>
</file>