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600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164063"/>
        </w:rPr>
        <w:t xml:space="preserve">证券行业深度分析</w:t>
      </w:r>
    </w:p>
    <w:p>
      <w:pPr>
        <w:jc w:val="center"/>
        <w:spacing w:after="240"/>
      </w:pPr>
      <w:r>
        <w:rPr>
          <w:rFonts w:ascii="PingFang SC" w:hAnsi="PingFang SC" w:cs="PingFang SC"/>
          <w:sz w:val="24"/>
          <w:sz-cs w:val="24"/>
          <w:spacing w:val="0"/>
          <w:color w:val="535353"/>
        </w:rPr>
        <w:t xml:space="preserve">国泰海通 · 国信证券 · 投资价值评估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⚠️ 重要辟谣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"国家不允许机构买证券" — 此为误传。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/>
      </w:r>
    </w:p>
    <w:p>
      <w:pPr/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实际情况是：某些券商债券发行限定"仅面向专业机构投资者"，这是投资者适当性要求，并非股票交易限制。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机构（公募、保险、券商自营）一直在买卖券商股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，只是很多机构主动低配券商，因为券商股周期性太强、ROE波动大。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64063"/>
        </w:rPr>
        <w:t xml:space="preserve">一、券商行业现状：是不是谷底？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64063"/>
        </w:rPr>
        <w:t xml:space="preserve">指标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64063"/>
        </w:rPr>
        <w:t xml:space="preserve">现状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行业平均PE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~15倍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头部券商PE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9-12倍（历史低位）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行业平均PB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1.0-1.2倍（接近破净）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2026年Q1日均股基成交额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~3.1万亿，同比+77%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两融余额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持续新高</w:t>
      </w:r>
    </w:p>
    <w:p>
      <w:pPr>
        <w:spacing w:after="24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表面看：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成交量爆炸、估值在历史低位，像谷底。</w:t>
        <w:br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实际看：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券商股是强周期股，估值低不代表会涨，要看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ROE能不能持续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64063"/>
        </w:rPr>
        <w:t xml:space="preserve">二、国泰海通（601211）分析 — 合并后的"航母"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15F95"/>
        </w:rPr>
        <w:t xml:space="preserve">合并进度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2025年4月：国泰君安+海通正式合并为"国泰海通"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2026年4月30日：资管子公司合并完成交割（行业首例）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2026年4月：期货子公司合并启动（海通期货停牌）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合并后资产规模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行业第一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：净资产3267亿、净资本1774亿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15F95"/>
        </w:rPr>
        <w:t xml:space="preserve">投资逻辑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64063"/>
        </w:rPr>
        <w:t xml:space="preserve">利好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64063"/>
        </w:rPr>
        <w:t xml:space="preserve">利空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合并后规模行业第一，议价能力增强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政策扶持打造"一流投行"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头部集中趋势，资源向龙头倾斜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整合成本高，"1+1"未必"&gt;2"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海通历史包袱（风险资产）需要时间消化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8"/>
          <w:sz-cs w:val="28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经纪业务同质化严重，佣金率持续下行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结论：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国泰海通适合长线配置（合并后行业第一，政策扶持打造航母券商），但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不适合短线博弈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（整合成本高，短期业绩不会爆发）。建议等回调到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PB 1.0-1.1倍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时建仓，拿1-2年。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64063"/>
        </w:rPr>
        <w:t xml:space="preserve">三、国信证券（002736）分析 — 低估值陷阱还是黄金坑？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15F95"/>
        </w:rPr>
        <w:t xml:space="preserve">2026年Q1业绩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64063"/>
        </w:rPr>
        <w:t xml:space="preserve">指标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64063"/>
        </w:rPr>
        <w:t xml:space="preserve">数据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营收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49.2亿，同比-5%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净利润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21.0亿，同比-10%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投资收益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D11E36"/>
        </w:rPr>
        <w:t xml:space="preserve">仅9亿，同比-63% ⚠️</w:t>
      </w:r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经纪净收入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59A35"/>
        </w:rPr>
        <w:t xml:space="preserve">27.5亿，同比+47% ✅</w:t>
      </w:r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PE-TTM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~10倍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PB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~1.0倍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15F95"/>
        </w:rPr>
        <w:t xml:space="preserve">业绩下滑主因</w:t>
      </w:r>
    </w:p>
    <w:p>
      <w:pPr>
        <w:spacing w:after="24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投资收益暴跌63%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是主因——券商自营（炒股/债券）一季度没赚到钱。但经纪业务受益于市场成交活跃，增长47%。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15F95"/>
        </w:rPr>
        <w:t xml:space="preserve">估值分析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PE 10倍：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历史低位，但ROE下降时低PE可能是陷阱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PB 1倍：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接近净资产，理论上"跌无可跌"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股息率：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~2.5%，有分红兜底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国信证券结论：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国信是中大型券商里估值最低、基本面最稳的之一。如果市场成交持续活跃，业绩会修复；但如果市场转冷，自营再亏，业绩还会承压。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建议极小仓位（3-5%）搏估值修复，不要重仓。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/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64063"/>
        </w:rPr>
        <w:t xml:space="preserve">四、券商股到底是不是"垃圾"？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15F95"/>
        </w:rPr>
        <w:t xml:space="preserve">券商股的"原罪"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64063"/>
        </w:rPr>
        <w:t xml:space="preserve">问题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64063"/>
        </w:rPr>
        <w:t xml:space="preserve">说明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强周期性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牛市涨3倍，熊市跌回原点，长期持有者体验极差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ROE不稳定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好的时候15%，差的时候5%，不像消费/医药稳定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佣金战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经纪业务佣金率持续下行，从千三降到万二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自营波动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拿客户钱+自己钱炒股，行情差就亏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融资冲动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动不动定增、配股，稀释老股东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同质化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除了头部几家，大部分券商没有护城河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15F95"/>
        </w:rPr>
        <w:t xml:space="preserve">券商股有价值的时候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市场成交持续放大：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经纪+两融双轮驱动，业绩弹性大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估值在历史低位：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PB&lt;1时，安全边际较高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政策催化：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如合并重组、T+0、延长交易时间等</w:t>
      </w:r>
    </w:p>
    <w:p>
      <w:pPr>
        <w:ind w:left="720" w:first-line="-720"/>
        <w:spacing w:after="120"/>
      </w:pPr>
      <w:r>
        <w:rPr>
          <w:rFonts w:ascii="PingFang SC Semibold" w:hAnsi="PingFang SC Semibold" w:cs="PingFang SC Semibold"/>
          <w:sz w:val="24"/>
          <w:sz-cs w:val="24"/>
          <w:b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牛市初期：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券商是"牛市旗手"，弹性最大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64063"/>
        </w:rPr>
        <w:t xml:space="preserve">五、券商行业当前位置综合判断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64063"/>
        </w:rPr>
        <w:t xml:space="preserve">指标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64063"/>
        </w:rPr>
        <w:t xml:space="preserve">当前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64063"/>
        </w:rPr>
        <w:t xml:space="preserve">判断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估值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历史低位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✅ 谷底特征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成交活跃度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极高（日均3万亿）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✅ 利好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政策环境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支持头部合并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✅ 利好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机构持仓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低配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✅ 反转空间大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业绩趋势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Q1分化（自营拖累）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⚠️ 不确定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ROE水平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7-9%，中等偏低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⚠️ 一般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综合判断：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券商行业处于</w:t>
      </w: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262626"/>
        </w:rPr>
        <w:t xml:space="preserve">"估值底+成交顶"</w:t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的博弈期。估值确实在谷底，但如果成交回落（比如日均跌到2万亿以下），业绩会迅速变脸。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64063"/>
        </w:rPr>
        <w:t xml:space="preserve">六、投资建议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15F95"/>
        </w:rPr>
        <w:t xml:space="preserve">国泰海通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适合长线配置：合并后行业第一，政策扶持打造航母券商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不适合短线博弈：整合成本高，短期业绩不会爆发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建仓点：等回调到PB 1.0-1.1倍时建仓，拿1-2年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15F95"/>
        </w:rPr>
        <w:t xml:space="preserve">国信证券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性价比更高：PE 10倍、PB 1倍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风险也更高：自营波动大，Q1已经暴露</w:t>
      </w:r>
    </w:p>
    <w:p>
      <w:pPr>
        <w:ind w:left="720" w:first-line="-720"/>
        <w:spacing w:after="120"/>
      </w:pPr>
      <w:r>
        <w:rPr>
          <w:rFonts w:ascii="PingFang SC" w:hAnsi="PingFang SC" w:cs="PingFang SC"/>
          <w:sz w:val="24"/>
          <w:sz-cs w:val="24"/>
          <w:color w:val="262626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4"/>
          <w:sz-cs w:val="24"/>
          <w:spacing w:val="0"/>
          <w:color w:val="262626"/>
        </w:rPr>
        <w:t xml:space="preserve">极小仓位（3-5%）搏估值修复，不要重仓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215F95"/>
        </w:rPr>
        <w:t xml:space="preserve">券商行业整体配置建议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64063"/>
        </w:rPr>
        <w:t xml:space="preserve">投资者类型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64063"/>
        </w:rPr>
        <w:t xml:space="preserve">建议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价值投资/长线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可以配一点国泰海通（龙头集中逻辑）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趋势/短线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不建议，券商股太随机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稳健型投资者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不要碰券商，去买确定性标的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激进型投资者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262626"/>
        </w:rPr>
        <w:t xml:space="preserve">如果一定要配，给券商不超过5%仓位</w:t>
      </w:r>
    </w:p>
    <w:p>
      <w:pPr>
        <w:spacing w:after="298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164063"/>
        </w:rPr>
        <w:t xml:space="preserve">七、核心结论</w:t>
      </w:r>
    </w:p>
    <w:p>
      <w:pPr/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34343"/>
        </w:rPr>
        <w:t xml:space="preserve">券商股不是"垃圾"，但也不是"宝藏"。它们是周期工具，不是长期资产。</w:t>
      </w:r>
      <w:r>
        <w:rPr>
          <w:rFonts w:ascii="PingFang SC" w:hAnsi="PingFang SC" w:cs="PingFang SC"/>
          <w:sz w:val="32"/>
          <w:sz-cs w:val="32"/>
          <w:spacing w:val="0"/>
          <w:color w:val="434343"/>
        </w:rPr>
        <w:t xml:space="preserve"/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434343"/>
        </w:rPr>
        <w:t xml:space="preserve"/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434343"/>
        </w:rPr>
        <w:t xml:space="preserve">估值在谷底是真的，但"机构不能买"是假的——是机构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34343"/>
        </w:rPr>
        <w:t xml:space="preserve">不想买</w:t>
      </w:r>
      <w:r>
        <w:rPr>
          <w:rFonts w:ascii="PingFang SC" w:hAnsi="PingFang SC" w:cs="PingFang SC"/>
          <w:sz w:val="32"/>
          <w:sz-cs w:val="32"/>
          <w:spacing w:val="0"/>
          <w:color w:val="434343"/>
        </w:rPr>
        <w:t xml:space="preserve">，不是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434343"/>
        </w:rPr>
        <w:t xml:space="preserve">不让买</w:t>
      </w:r>
      <w:r>
        <w:rPr>
          <w:rFonts w:ascii="PingFang SC" w:hAnsi="PingFang SC" w:cs="PingFang SC"/>
          <w:sz w:val="32"/>
          <w:sz-cs w:val="32"/>
          <w:spacing w:val="0"/>
          <w:color w:val="434343"/>
        </w:rPr>
        <w:t xml:space="preserve">。</w:t>
      </w:r>
      <w:r>
        <w:rPr>
          <w:rFonts w:ascii="PingFang SC" w:hAnsi="PingFang SC" w:cs="PingFang SC"/>
          <w:sz w:val="32"/>
          <w:sz-cs w:val="32"/>
          <w:spacing w:val="0"/>
          <w:color w:val="434343"/>
        </w:rPr>
        <w:t xml:space="preserve"/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434343"/>
        </w:rPr>
        <w:t xml:space="preserve"/>
      </w:r>
    </w:p>
    <w:p>
      <w:pPr/>
      <w:r>
        <w:rPr>
          <w:rFonts w:ascii="PingFang SC" w:hAnsi="PingFang SC" w:cs="PingFang SC"/>
          <w:sz w:val="32"/>
          <w:sz-cs w:val="32"/>
          <w:spacing w:val="0"/>
          <w:color w:val="434343"/>
        </w:rPr>
        <w:t xml:space="preserve">券商可以小仓位配置（3-5%）搏市场继续放量，但永远别重仓。主战场应该是确定性强的白马股，券商只是调味剂。</w:t>
      </w:r>
    </w:p>
    <w:p>
      <w:pPr>
        <w:jc w:val="center"/>
        <w:spacing w:after="24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878787"/>
        </w:rPr>
        <w:t xml:space="preserve">免责声明：</w:t>
      </w:r>
      <w:r>
        <w:rPr>
          <w:rFonts w:ascii="PingFang SC" w:hAnsi="PingFang SC" w:cs="PingFang SC"/>
          <w:sz w:val="24"/>
          <w:sz-cs w:val="24"/>
          <w:spacing w:val="0"/>
          <w:color w:val="878787"/>
        </w:rPr>
        <w:t xml:space="preserve">本分析仅供参考，不构成投资建议。股市有风险，投资需谨慎。</w:t>
      </w:r>
    </w:p>
    <w:p>
      <w:pPr>
        <w:jc w:val="center"/>
        <w:spacing w:after="240"/>
      </w:pPr>
      <w:r>
        <w:rPr>
          <w:rFonts w:ascii="PingFang SC Semibold" w:hAnsi="PingFang SC Semibold" w:cs="PingFang SC Semibold"/>
          <w:sz w:val="24"/>
          <w:sz-cs w:val="24"/>
          <w:b/>
          <w:spacing w:val="0"/>
          <w:color w:val="878787"/>
        </w:rPr>
        <w:t xml:space="preserve">分析日期：</w:t>
      </w:r>
      <w:r>
        <w:rPr>
          <w:rFonts w:ascii="PingFang SC" w:hAnsi="PingFang SC" w:cs="PingFang SC"/>
          <w:sz w:val="24"/>
          <w:sz-cs w:val="24"/>
          <w:spacing w:val="0"/>
          <w:color w:val="878787"/>
        </w:rPr>
        <w:t xml:space="preserve">2026年4月30日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