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A300" w:sz="12" w:space="2"/>
        </w:pBdr>
        <w:spacing w:after="60"/>
      </w:pPr>
      <w:r>
        <w:rPr>
          <w:rFonts w:ascii="Arial" w:cs="Arial" w:eastAsia="Arial" w:hAnsi="Arial"/>
          <w:b/>
          <w:bCs/>
          <w:color w:val="1A1916"/>
          <w:sz w:val="30"/>
          <w:szCs w:val="30"/>
        </w:rPr>
        <w:t xml:space="preserve">Content AI - ocena vs konkurencja</w:t>
      </w:r>
    </w:p>
    <w:p>
      <w:pPr>
        <w:spacing w:after="160"/>
      </w:pPr>
      <w:r>
        <w:rPr>
          <w:rFonts w:ascii="Arial" w:cs="Arial" w:eastAsia="Arial" w:hAnsi="Arial"/>
          <w:color w:val="666666"/>
          <w:sz w:val="18"/>
          <w:szCs w:val="18"/>
        </w:rPr>
        <w:t xml:space="preserve">Wewnętrzne narzędzie Content AI. Stan rynku: czerwiec 2026.</w:t>
      </w:r>
    </w:p>
    <w:p>
      <w:pPr>
        <w:spacing w:after="60" w:before="160"/>
      </w:pPr>
      <w:r>
        <w:rPr>
          <w:rFonts w:ascii="Arial" w:cs="Arial" w:eastAsia="Arial" w:hAnsi="Arial"/>
          <w:b/>
          <w:bCs/>
          <w:color w:val="E23244"/>
          <w:sz w:val="22"/>
          <w:szCs w:val="22"/>
        </w:rPr>
        <w:t xml:space="preserve">Kontekst rynku</w:t>
      </w:r>
    </w:p>
    <w:p>
      <w:pPr>
        <w:spacing w:after="80"/>
      </w:pPr>
      <w:r>
        <w:rPr>
          <w:rFonts w:ascii="Arial" w:cs="Arial" w:eastAsia="Arial" w:hAnsi="Arial"/>
          <w:color w:val="1A1916"/>
          <w:sz w:val="19"/>
          <w:szCs w:val="19"/>
        </w:rPr>
        <w:t xml:space="preserve">Rynek narzędzi AI visibility (AEO/GEO) urósł w realne pieniądze: ponad 300 mln USD finansowania między latem 2025 a wiosną 2026. Liderem jest Profound (ok. 155 mln USD, wycena 1 mld, klienci z Fortune 500), najszybciej rosnącym graczem mid-market Peec AI (ok. 85-89 EUR/mies), a najtańszym wejściem Otterly (29 USD/mies). Ahrefs i Semrush dokleiły moduły AI do swoich pakietów.</w:t>
      </w:r>
    </w:p>
    <w:p>
      <w:pPr>
        <w:spacing w:after="80"/>
      </w:pPr>
      <w:r>
        <w:rPr>
          <w:rFonts w:ascii="Arial" w:cs="Arial" w:eastAsia="Arial" w:hAnsi="Arial"/>
          <w:color w:val="1A1916"/>
          <w:sz w:val="19"/>
          <w:szCs w:val="19"/>
        </w:rPr>
        <w:t xml:space="preserve">Rynek ocenia narzędzia po: pokryciu silników (ChatGPT, Perplexity, Google AI Overviews, Gemini, Claude, Copilot), głębi pomiaru (wzmianki, cytowania, sentyment, pozycja, udział w odpowiedziach), częstotliwości odświeżania i tym, czy dają rekomendacje, a nie tylko dane. Liderzy śledzą 5-7 silników w trybie ciągłym. Badania (SparkToro) pokazują dużą zmienność odpowiedzi AI, więc liczy się trend, nie pojedynczy pomiar.</w:t>
      </w:r>
    </w:p>
    <w:p>
      <w:pPr>
        <w:spacing w:after="60" w:before="160"/>
      </w:pPr>
      <w:r>
        <w:rPr>
          <w:rFonts w:ascii="Arial" w:cs="Arial" w:eastAsia="Arial" w:hAnsi="Arial"/>
          <w:b/>
          <w:bCs/>
          <w:color w:val="E23244"/>
          <w:sz w:val="22"/>
          <w:szCs w:val="22"/>
        </w:rPr>
        <w:t xml:space="preserve">Pozycja naszego narzędzia</w:t>
      </w:r>
    </w:p>
    <w:p>
      <w:pPr>
        <w:spacing w:after="80"/>
      </w:pPr>
      <w:r>
        <w:rPr>
          <w:rFonts w:ascii="Arial" w:cs="Arial" w:eastAsia="Arial" w:hAnsi="Arial"/>
          <w:color w:val="1A1916"/>
          <w:sz w:val="19"/>
          <w:szCs w:val="19"/>
        </w:rPr>
        <w:t xml:space="preserve">Content AI to jedno narzędzie łączące produkcję treści AI-ready (SEO/AIO/AEO/GEO, schema, llms.txt, robots, strony kierunkowe, informacja prasowa) z pomiarem widoczności i raportem. Większość komercyjnych narzędzi robi tylko pomiar i zostawia tworzenie treści użytkownikowi.</w:t>
      </w:r>
    </w:p>
    <w:p>
      <w:pPr>
        <w:spacing w:after="60" w:before="160"/>
      </w:pPr>
      <w:r>
        <w:rPr>
          <w:rFonts w:ascii="Arial" w:cs="Arial" w:eastAsia="Arial" w:hAnsi="Arial"/>
          <w:b/>
          <w:bCs/>
          <w:color w:val="E23244"/>
          <w:sz w:val="22"/>
          <w:szCs w:val="22"/>
        </w:rPr>
        <w:t xml:space="preserve">Przewagi</w:t>
      </w:r>
    </w:p>
    <w:p>
      <w:pPr>
        <w:pStyle w:val="ListParagraph"/>
        <w:numPr>
          <w:ilvl w:val="0"/>
          <w:numId w:val="2"/>
        </w:numPr>
        <w:spacing w:after="40"/>
      </w:pPr>
      <w:r>
        <w:rPr>
          <w:rFonts w:ascii="Arial" w:cs="Arial" w:eastAsia="Arial" w:hAnsi="Arial"/>
          <w:color w:val="1A1916"/>
          <w:sz w:val="19"/>
          <w:szCs w:val="19"/>
        </w:rPr>
        <w:t xml:space="preserve">Integracja produkcja + pomiar + artefakty on-page w jednym narzędziu (rzadkie na rynku).</w:t>
      </w:r>
    </w:p>
    <w:p>
      <w:pPr>
        <w:pStyle w:val="ListParagraph"/>
        <w:numPr>
          <w:ilvl w:val="0"/>
          <w:numId w:val="2"/>
        </w:numPr>
        <w:spacing w:after="40"/>
      </w:pPr>
      <w:r>
        <w:rPr>
          <w:rFonts w:ascii="Arial" w:cs="Arial" w:eastAsia="Arial" w:hAnsi="Arial"/>
          <w:color w:val="1A1916"/>
          <w:sz w:val="19"/>
          <w:szCs w:val="19"/>
        </w:rPr>
        <w:t xml:space="preserve">Koszt: brak opłaty SaaS na użytkownika, działa na własnych kluczach API Content AI.</w:t>
      </w:r>
    </w:p>
    <w:p>
      <w:pPr>
        <w:pStyle w:val="ListParagraph"/>
        <w:numPr>
          <w:ilvl w:val="0"/>
          <w:numId w:val="2"/>
        </w:numPr>
        <w:spacing w:after="40"/>
      </w:pPr>
      <w:r>
        <w:rPr>
          <w:rFonts w:ascii="Arial" w:cs="Arial" w:eastAsia="Arial" w:hAnsi="Arial"/>
          <w:color w:val="1A1916"/>
          <w:sz w:val="19"/>
          <w:szCs w:val="19"/>
        </w:rPr>
        <w:t xml:space="preserve">Głębokie osadzenie w Content AI: baza wiedzy, brand voice, guardrail linii, encja/schema z danymi prawnymi, dwujęzyczność, zgodność z governance, dystrybucja jako PWA/Teams.</w:t>
      </w:r>
    </w:p>
    <w:p>
      <w:pPr>
        <w:pStyle w:val="ListParagraph"/>
        <w:numPr>
          <w:ilvl w:val="0"/>
          <w:numId w:val="2"/>
        </w:numPr>
        <w:spacing w:after="40"/>
      </w:pPr>
      <w:r>
        <w:rPr>
          <w:rFonts w:ascii="Arial" w:cs="Arial" w:eastAsia="Arial" w:hAnsi="Arial"/>
          <w:color w:val="1A1916"/>
          <w:sz w:val="19"/>
          <w:szCs w:val="19"/>
        </w:rPr>
        <w:t xml:space="preserve">Pomiar odporny na zmienność: iteracje, stabilność, trend i wskaźnik ważony pozycją (nie sama obecność).</w:t>
      </w:r>
    </w:p>
    <w:p>
      <w:pPr>
        <w:pStyle w:val="ListParagraph"/>
        <w:numPr>
          <w:ilvl w:val="0"/>
          <w:numId w:val="2"/>
        </w:numPr>
        <w:spacing w:after="40"/>
      </w:pPr>
      <w:r>
        <w:rPr>
          <w:rFonts w:ascii="Arial" w:cs="Arial" w:eastAsia="Arial" w:hAnsi="Arial"/>
          <w:color w:val="1A1916"/>
          <w:sz w:val="19"/>
          <w:szCs w:val="19"/>
        </w:rPr>
        <w:t xml:space="preserve">Produkcja audio: podcast, newsletter audio, audiobook, asystent głosowy i transkrypcja mowy na tekst - czego narzędzia czysto pomiarowe nie mają.</w:t>
      </w:r>
    </w:p>
    <w:p>
      <w:pPr>
        <w:spacing w:after="60" w:before="160"/>
      </w:pPr>
      <w:r>
        <w:rPr>
          <w:rFonts w:ascii="Arial" w:cs="Arial" w:eastAsia="Arial" w:hAnsi="Arial"/>
          <w:b/>
          <w:bCs/>
          <w:color w:val="E23244"/>
          <w:sz w:val="22"/>
          <w:szCs w:val="22"/>
        </w:rPr>
        <w:t xml:space="preserve">Luki względem liderów</w:t>
      </w:r>
    </w:p>
    <w:p>
      <w:pPr>
        <w:pStyle w:val="ListParagraph"/>
        <w:numPr>
          <w:ilvl w:val="0"/>
          <w:numId w:val="2"/>
        </w:numPr>
        <w:spacing w:after="40"/>
      </w:pPr>
      <w:r>
        <w:rPr>
          <w:rFonts w:ascii="Arial" w:cs="Arial" w:eastAsia="Arial" w:hAnsi="Arial"/>
          <w:color w:val="1A1916"/>
          <w:sz w:val="19"/>
          <w:szCs w:val="19"/>
        </w:rPr>
        <w:t xml:space="preserve">Jeden model (Claude) i pomiar na żądanie, zamiast ciągłego monitoringu 4-7 silników.</w:t>
      </w:r>
    </w:p>
    <w:p>
      <w:pPr>
        <w:pStyle w:val="ListParagraph"/>
        <w:numPr>
          <w:ilvl w:val="0"/>
          <w:numId w:val="2"/>
        </w:numPr>
        <w:spacing w:after="40"/>
      </w:pPr>
      <w:r>
        <w:rPr>
          <w:rFonts w:ascii="Arial" w:cs="Arial" w:eastAsia="Arial" w:hAnsi="Arial"/>
          <w:color w:val="1A1916"/>
          <w:sz w:val="19"/>
          <w:szCs w:val="19"/>
        </w:rPr>
        <w:t xml:space="preserve">Brak realnej atrybucji ruchu z AI (tracking jest tylko warunkiem wstępnym: robots, UTM, GA4).</w:t>
      </w:r>
    </w:p>
    <w:p>
      <w:pPr>
        <w:pStyle w:val="ListParagraph"/>
        <w:numPr>
          <w:ilvl w:val="0"/>
          <w:numId w:val="2"/>
        </w:numPr>
        <w:spacing w:after="40"/>
      </w:pPr>
      <w:r>
        <w:rPr>
          <w:rFonts w:ascii="Arial" w:cs="Arial" w:eastAsia="Arial" w:hAnsi="Arial"/>
          <w:color w:val="1A1916"/>
          <w:sz w:val="19"/>
          <w:szCs w:val="19"/>
        </w:rPr>
        <w:t xml:space="preserve">Brak trwałych dashboardów historycznych i sentymentu w skali (snapshoty w localStorage).</w:t>
      </w:r>
    </w:p>
    <w:p>
      <w:pPr>
        <w:spacing w:after="60" w:before="160"/>
      </w:pPr>
      <w:r>
        <w:rPr>
          <w:rFonts w:ascii="Arial" w:cs="Arial" w:eastAsia="Arial" w:hAnsi="Arial"/>
          <w:b/>
          <w:bCs/>
          <w:color w:val="E23244"/>
          <w:sz w:val="22"/>
          <w:szCs w:val="22"/>
        </w:rPr>
        <w:t xml:space="preserve">Wniosek</w:t>
      </w:r>
    </w:p>
    <w:p>
      <w:pPr>
        <w:spacing w:after="80"/>
      </w:pPr>
      <w:r>
        <w:rPr>
          <w:rFonts w:ascii="Arial" w:cs="Arial" w:eastAsia="Arial" w:hAnsi="Arial"/>
          <w:b/>
          <w:bCs/>
          <w:color w:val="1A1916"/>
          <w:sz w:val="19"/>
          <w:szCs w:val="19"/>
        </w:rPr>
        <w:t xml:space="preserve">Nie konkurujemy z Profound i nie powinniśmy. W swojej roli (produkcja treści AI-ready + spot-check widoczności + artefakty on-page) narzędzie wypada bardzo dobrze, lepiej niż samodzielne narzędzia pomiarowe, bo te treści nie tworzą. Obszar do ewentualnego uzupełnienia zewnętrznym rozwiązaniem lub backendem to ciągły, wielomodelowy monitoring konkurencji.</w:t>
      </w:r>
    </w:p>
    <w:p>
      <w:pPr>
        <w:spacing w:after="40" w:before="120"/>
      </w:pPr>
      <w:r>
        <w:rPr>
          <w:rFonts w:ascii="Arial" w:cs="Arial" w:eastAsia="Arial" w:hAnsi="Arial"/>
          <w:b/>
          <w:bCs/>
          <w:color w:val="1A1916"/>
          <w:sz w:val="19"/>
          <w:szCs w:val="19"/>
        </w:rPr>
        <w:t xml:space="preserve">Porównanie skrótowe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Wymiar</w:t>
            </w:r>
          </w:p>
        </w:tc>
        <w:tc>
          <w:tcPr>
            <w:tcW w:type="dxa" w:w="3413"/>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Content AI</w:t>
            </w:r>
          </w:p>
        </w:tc>
        <w:tc>
          <w:tcPr>
            <w:tcW w:type="dxa" w:w="3413"/>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Liderzy (Profound / Peec / Otterly)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Produkcja treści</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Tak, pełna (SEO/AIO/AEO/GEO, schema, prasowa)</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Zwykle brak, tylko pomiar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Treści audio</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Tak (podcast, newsletter audio, audiobook, asystent głosowy, transkrypcja)</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Brak (narzędzia tylko pomiarowe)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Pomiar widoczności</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Na żądanie, 1 model (Claude)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Ciągły, 4-7 silników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Atrybucja ruchu</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Warunki wstępne (robots/UTM/GA4)</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Część narzędzi: realny ruch i konwersje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Koszt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Własne klucze API, bez SaaS/os.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29-89+ EUR/mies lub enterprise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Osadzenie w Content AI</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Wysokie (KB, brand voice, encja, governance)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Generyczne</w:t>
            </w:r>
          </w:p>
        </w:tc>
      </w:tr>
    </w:tbl>
    <w:p>
      <w:pPr>
        <w:pBdr>
          <w:top w:val="single" w:color="DDDDDD" w:sz="4" w:space="4"/>
        </w:pBdr>
        <w:spacing w:before="160"/>
      </w:pPr>
      <w:r>
        <w:rPr>
          <w:rFonts w:ascii="Arial" w:cs="Arial" w:eastAsia="Arial" w:hAnsi="Arial"/>
          <w:i/>
          <w:iCs/>
          <w:color w:val="666666"/>
          <w:sz w:val="14"/>
          <w:szCs w:val="14"/>
        </w:rPr>
        <w:t xml:space="preserve">Źródła rynkowe (czerwiec 2026): zestawienia Surmado, Quattr, Visiblie, Keytomic, SearchInfluence; dane o finansowaniu i cennikach z publikacji dostawców. Ocena wewnętrzna Content AI.</w:t>
      </w:r>
    </w:p>
    <w:p>
      <w:r>
        <w:br w:type="page"/>
      </w:r>
    </w:p>
    <w:p>
      <w:pPr>
        <w:pBdr>
          <w:bottom w:val="single" w:color="F5A300" w:sz="12" w:space="2"/>
        </w:pBdr>
        <w:spacing w:after="60"/>
      </w:pPr>
      <w:r>
        <w:rPr>
          <w:rFonts w:ascii="Arial" w:cs="Arial" w:eastAsia="Arial" w:hAnsi="Arial"/>
          <w:b/>
          <w:bCs/>
          <w:color w:val="1A1916"/>
          <w:sz w:val="30"/>
          <w:szCs w:val="30"/>
        </w:rPr>
        <w:t xml:space="preserve">Content AI - assessment vs competition</w:t>
      </w:r>
    </w:p>
    <w:p>
      <w:pPr>
        <w:spacing w:after="160"/>
      </w:pPr>
      <w:r>
        <w:rPr>
          <w:rFonts w:ascii="Arial" w:cs="Arial" w:eastAsia="Arial" w:hAnsi="Arial"/>
          <w:color w:val="666666"/>
          <w:sz w:val="18"/>
          <w:szCs w:val="18"/>
        </w:rPr>
        <w:t xml:space="preserve">Internal tool, Content AI Poland. Market snapshot: June 2026.</w:t>
      </w:r>
    </w:p>
    <w:p>
      <w:pPr>
        <w:spacing w:after="60" w:before="160"/>
      </w:pPr>
      <w:r>
        <w:rPr>
          <w:rFonts w:ascii="Arial" w:cs="Arial" w:eastAsia="Arial" w:hAnsi="Arial"/>
          <w:b/>
          <w:bCs/>
          <w:color w:val="E23244"/>
          <w:sz w:val="22"/>
          <w:szCs w:val="22"/>
        </w:rPr>
        <w:t xml:space="preserve">Market context</w:t>
      </w:r>
    </w:p>
    <w:p>
      <w:pPr>
        <w:spacing w:after="80"/>
      </w:pPr>
      <w:r>
        <w:rPr>
          <w:rFonts w:ascii="Arial" w:cs="Arial" w:eastAsia="Arial" w:hAnsi="Arial"/>
          <w:color w:val="1A1916"/>
          <w:sz w:val="19"/>
          <w:szCs w:val="19"/>
        </w:rPr>
        <w:t xml:space="preserve">The AI visibility (AEO/GEO) tooling market has become a real funding category: over USD 300M raised between summer 2025 and spring 2026. Profound leads (about USD 155M raised, USD 1B valuation, Fortune 500 clients), Peec AI is the fastest-growing mid-market player (about EUR 85-89/mo), and Otterly is the cheapest entry (USD 29/mo). Ahrefs and Semrush bolted AI modules onto their suites.</w:t>
      </w:r>
    </w:p>
    <w:p>
      <w:pPr>
        <w:spacing w:after="80"/>
      </w:pPr>
      <w:r>
        <w:rPr>
          <w:rFonts w:ascii="Arial" w:cs="Arial" w:eastAsia="Arial" w:hAnsi="Arial"/>
          <w:color w:val="1A1916"/>
          <w:sz w:val="19"/>
          <w:szCs w:val="19"/>
        </w:rPr>
        <w:t xml:space="preserve">The market judges tools by engine coverage (ChatGPT, Perplexity, Google AI Overviews, Gemini, Claude, Copilot), measurement depth (mentions, citations, sentiment, position, share of answers), refresh frequency, and whether they give recommendations rather than only data. Leaders track 5-7 engines continuously. Research (SparkToro) shows high variability in AI answers, so the trend matters more than a single measurement.</w:t>
      </w:r>
    </w:p>
    <w:p>
      <w:pPr>
        <w:spacing w:after="60" w:before="160"/>
      </w:pPr>
      <w:r>
        <w:rPr>
          <w:rFonts w:ascii="Arial" w:cs="Arial" w:eastAsia="Arial" w:hAnsi="Arial"/>
          <w:b/>
          <w:bCs/>
          <w:color w:val="E23244"/>
          <w:sz w:val="22"/>
          <w:szCs w:val="22"/>
        </w:rPr>
        <w:t xml:space="preserve">Where our tool sits</w:t>
      </w:r>
    </w:p>
    <w:p>
      <w:pPr>
        <w:spacing w:after="80"/>
      </w:pPr>
      <w:r>
        <w:rPr>
          <w:rFonts w:ascii="Arial" w:cs="Arial" w:eastAsia="Arial" w:hAnsi="Arial"/>
          <w:color w:val="1A1916"/>
          <w:sz w:val="19"/>
          <w:szCs w:val="19"/>
        </w:rPr>
        <w:t xml:space="preserve">Content AI is a single tool combining AI-ready content production (SEO/AIO/AEO/GEO, schema, llms.txt, robots, directional pages, press release) with visibility measurement and reporting. Most commercial tools only measure and leave content creation to the user.</w:t>
      </w:r>
    </w:p>
    <w:p>
      <w:pPr>
        <w:spacing w:after="60" w:before="160"/>
      </w:pPr>
      <w:r>
        <w:rPr>
          <w:rFonts w:ascii="Arial" w:cs="Arial" w:eastAsia="Arial" w:hAnsi="Arial"/>
          <w:b/>
          <w:bCs/>
          <w:color w:val="E23244"/>
          <w:sz w:val="22"/>
          <w:szCs w:val="22"/>
        </w:rPr>
        <w:t xml:space="preserve">Strengths</w:t>
      </w:r>
    </w:p>
    <w:p>
      <w:pPr>
        <w:pStyle w:val="ListParagraph"/>
        <w:numPr>
          <w:ilvl w:val="0"/>
          <w:numId w:val="2"/>
        </w:numPr>
        <w:spacing w:after="40"/>
      </w:pPr>
      <w:r>
        <w:rPr>
          <w:rFonts w:ascii="Arial" w:cs="Arial" w:eastAsia="Arial" w:hAnsi="Arial"/>
          <w:color w:val="1A1916"/>
          <w:sz w:val="19"/>
          <w:szCs w:val="19"/>
        </w:rPr>
        <w:t xml:space="preserve">Production + measurement + on-page artifacts integrated in one tool (rare on the market).</w:t>
      </w:r>
    </w:p>
    <w:p>
      <w:pPr>
        <w:pStyle w:val="ListParagraph"/>
        <w:numPr>
          <w:ilvl w:val="0"/>
          <w:numId w:val="2"/>
        </w:numPr>
        <w:spacing w:after="40"/>
      </w:pPr>
      <w:r>
        <w:rPr>
          <w:rFonts w:ascii="Arial" w:cs="Arial" w:eastAsia="Arial" w:hAnsi="Arial"/>
          <w:color w:val="1A1916"/>
          <w:sz w:val="19"/>
          <w:szCs w:val="19"/>
        </w:rPr>
        <w:t xml:space="preserve">Cost: no per-seat SaaS fee, runs on Content AI own API keys.</w:t>
      </w:r>
    </w:p>
    <w:p>
      <w:pPr>
        <w:pStyle w:val="ListParagraph"/>
        <w:numPr>
          <w:ilvl w:val="0"/>
          <w:numId w:val="2"/>
        </w:numPr>
        <w:spacing w:after="40"/>
      </w:pPr>
      <w:r>
        <w:rPr>
          <w:rFonts w:ascii="Arial" w:cs="Arial" w:eastAsia="Arial" w:hAnsi="Arial"/>
          <w:color w:val="1A1916"/>
          <w:sz w:val="19"/>
          <w:szCs w:val="19"/>
        </w:rPr>
        <w:t xml:space="preserve">Deep Content AI grounding: knowledge base, brand voice, product-line guardrail, entity/schema with legal data, bilingual, governance alignment, PWA/Teams distribution.</w:t>
      </w:r>
    </w:p>
    <w:p>
      <w:pPr>
        <w:pStyle w:val="ListParagraph"/>
        <w:numPr>
          <w:ilvl w:val="0"/>
          <w:numId w:val="2"/>
        </w:numPr>
        <w:spacing w:after="40"/>
      </w:pPr>
      <w:r>
        <w:rPr>
          <w:rFonts w:ascii="Arial" w:cs="Arial" w:eastAsia="Arial" w:hAnsi="Arial"/>
          <w:color w:val="1A1916"/>
          <w:sz w:val="19"/>
          <w:szCs w:val="19"/>
        </w:rPr>
        <w:t xml:space="preserve">Variability-resistant measurement: iterations, stability, trend and a position-weighted score (not raw presence).</w:t>
      </w:r>
    </w:p>
    <w:p>
      <w:pPr>
        <w:pStyle w:val="ListParagraph"/>
        <w:numPr>
          <w:ilvl w:val="0"/>
          <w:numId w:val="2"/>
        </w:numPr>
        <w:spacing w:after="40"/>
      </w:pPr>
      <w:r>
        <w:rPr>
          <w:rFonts w:ascii="Arial" w:cs="Arial" w:eastAsia="Arial" w:hAnsi="Arial"/>
          <w:color w:val="1A1916"/>
          <w:sz w:val="19"/>
          <w:szCs w:val="19"/>
        </w:rPr>
        <w:t xml:space="preserve">Audio production: podcast, audio newsletter, audiobook, voice assistant and speech-to-text transcription, which pure measurement tools do not offer.</w:t>
      </w:r>
    </w:p>
    <w:p>
      <w:pPr>
        <w:spacing w:after="60" w:before="160"/>
      </w:pPr>
      <w:r>
        <w:rPr>
          <w:rFonts w:ascii="Arial" w:cs="Arial" w:eastAsia="Arial" w:hAnsi="Arial"/>
          <w:b/>
          <w:bCs/>
          <w:color w:val="E23244"/>
          <w:sz w:val="22"/>
          <w:szCs w:val="22"/>
        </w:rPr>
        <w:t xml:space="preserve">Gaps vs leaders</w:t>
      </w:r>
    </w:p>
    <w:p>
      <w:pPr>
        <w:pStyle w:val="ListParagraph"/>
        <w:numPr>
          <w:ilvl w:val="0"/>
          <w:numId w:val="2"/>
        </w:numPr>
        <w:spacing w:after="40"/>
      </w:pPr>
      <w:r>
        <w:rPr>
          <w:rFonts w:ascii="Arial" w:cs="Arial" w:eastAsia="Arial" w:hAnsi="Arial"/>
          <w:color w:val="1A1916"/>
          <w:sz w:val="19"/>
          <w:szCs w:val="19"/>
        </w:rPr>
        <w:t xml:space="preserve">Single model (Claude) and on-demand measurement, not continuous monitoring of 4-7 engines.</w:t>
      </w:r>
    </w:p>
    <w:p>
      <w:pPr>
        <w:pStyle w:val="ListParagraph"/>
        <w:numPr>
          <w:ilvl w:val="0"/>
          <w:numId w:val="2"/>
        </w:numPr>
        <w:spacing w:after="40"/>
      </w:pPr>
      <w:r>
        <w:rPr>
          <w:rFonts w:ascii="Arial" w:cs="Arial" w:eastAsia="Arial" w:hAnsi="Arial"/>
          <w:color w:val="1A1916"/>
          <w:sz w:val="19"/>
          <w:szCs w:val="19"/>
        </w:rPr>
        <w:t xml:space="preserve">No real AI traffic attribution (tracking is a precondition only: robots, UTM, GA4).</w:t>
      </w:r>
    </w:p>
    <w:p>
      <w:pPr>
        <w:pStyle w:val="ListParagraph"/>
        <w:numPr>
          <w:ilvl w:val="0"/>
          <w:numId w:val="2"/>
        </w:numPr>
        <w:spacing w:after="40"/>
      </w:pPr>
      <w:r>
        <w:rPr>
          <w:rFonts w:ascii="Arial" w:cs="Arial" w:eastAsia="Arial" w:hAnsi="Arial"/>
          <w:color w:val="1A1916"/>
          <w:sz w:val="19"/>
          <w:szCs w:val="19"/>
        </w:rPr>
        <w:t xml:space="preserve">No durable historical dashboards or sentiment at scale (snapshots in localStorage).</w:t>
      </w:r>
    </w:p>
    <w:p>
      <w:pPr>
        <w:spacing w:after="60" w:before="160"/>
      </w:pPr>
      <w:r>
        <w:rPr>
          <w:rFonts w:ascii="Arial" w:cs="Arial" w:eastAsia="Arial" w:hAnsi="Arial"/>
          <w:b/>
          <w:bCs/>
          <w:color w:val="E23244"/>
          <w:sz w:val="22"/>
          <w:szCs w:val="22"/>
        </w:rPr>
        <w:t xml:space="preserve">Bottom line</w:t>
      </w:r>
    </w:p>
    <w:p>
      <w:pPr>
        <w:spacing w:after="80"/>
      </w:pPr>
      <w:r>
        <w:rPr>
          <w:rFonts w:ascii="Arial" w:cs="Arial" w:eastAsia="Arial" w:hAnsi="Arial"/>
          <w:b/>
          <w:bCs/>
          <w:color w:val="1A1916"/>
          <w:sz w:val="19"/>
          <w:szCs w:val="19"/>
        </w:rPr>
        <w:t xml:space="preserve">We do not compete with Profound and should not. In its role (AI-ready content production + visibility spot-check + on-page artifacts) the tool performs very well, better than standalone measurement tools because they do not create content. The area that an external solution or a backend could complement is continuous, multi-model competitor monitoring.</w:t>
      </w:r>
    </w:p>
    <w:p>
      <w:pPr>
        <w:spacing w:after="40" w:before="120"/>
      </w:pPr>
      <w:r>
        <w:rPr>
          <w:rFonts w:ascii="Arial" w:cs="Arial" w:eastAsia="Arial" w:hAnsi="Arial"/>
          <w:b/>
          <w:bCs/>
          <w:color w:val="1A1916"/>
          <w:sz w:val="19"/>
          <w:szCs w:val="19"/>
        </w:rPr>
        <w:t xml:space="preserve">Comparison at a glance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13"/>
        <w:gridCol w:w="3413"/>
      </w:tblGrid>
      <w:tr>
        <w:tc>
          <w:tcPr>
            <w:tcW w:type="dxa" w:w="2200"/>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Dimension</w:t>
            </w:r>
          </w:p>
        </w:tc>
        <w:tc>
          <w:tcPr>
            <w:tcW w:type="dxa" w:w="3413"/>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Content AI</w:t>
            </w:r>
          </w:p>
        </w:tc>
        <w:tc>
          <w:tcPr>
            <w:tcW w:type="dxa" w:w="3413"/>
            <w:tcBorders>
              <w:top w:val="single" w:color="CCCCCC" w:sz="1"/>
              <w:left w:val="single" w:color="CCCCCC" w:sz="1"/>
              <w:bottom w:val="single" w:color="CCCCCC" w:sz="1"/>
              <w:right w:val="single" w:color="CCCCCC" w:sz="1"/>
            </w:tcBorders>
            <w:shd w:fill="F5A300" w:val="clear"/>
            <w:tcMar>
              <w:top w:type="dxa" w:w="60"/>
              <w:left w:type="dxa" w:w="100"/>
              <w:bottom w:type="dxa" w:w="60"/>
              <w:right w:type="dxa" w:w="100"/>
            </w:tcMar>
          </w:tcPr>
          <w:p>
            <w:r>
              <w:rPr>
                <w:rFonts w:ascii="Arial" w:cs="Arial" w:eastAsia="Arial" w:hAnsi="Arial"/>
                <w:b/>
                <w:bCs/>
                <w:color w:val="1A1916"/>
                <w:sz w:val="17"/>
                <w:szCs w:val="17"/>
              </w:rPr>
              <w:t xml:space="preserve">Leaders (Profound / Peec / Otterly)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Content production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Yes, full (SEO/AIO/AEO/GEO, schema, PR)</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Usually none, measurement only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Audio content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Yes (podcast, audio newsletter, audiobook, voice assistant, transcription)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None (measurement-only 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Visibility measurement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On-demand, 1 model (Claude)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Continuous, 4-7 engines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Traffic attribution</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Preconditions (robots/UTM/GA4)</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Some tools: real traffic and conversions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Cost</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Own API keys, no per-seat SaaS</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EUR 29-89+/mo or enterprise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A1916"/>
                <w:sz w:val="17"/>
                <w:szCs w:val="17"/>
              </w:rPr>
              <w:t xml:space="preserve">Content AI grounding</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High (KB, brand voice, entity, governance)</w:t>
            </w:r>
          </w:p>
        </w:tc>
        <w:tc>
          <w:tcPr>
            <w:tcW w:type="dxa" w:w="3413"/>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1A1916"/>
                <w:sz w:val="17"/>
                <w:szCs w:val="17"/>
              </w:rPr>
              <w:t xml:space="preserve">Generic</w:t>
            </w:r>
          </w:p>
        </w:tc>
      </w:tr>
    </w:tbl>
    <w:p>
      <w:pPr>
        <w:pBdr>
          <w:top w:val="single" w:color="DDDDDD" w:sz="4" w:space="4"/>
        </w:pBdr>
        <w:spacing w:before="160"/>
      </w:pPr>
      <w:r>
        <w:rPr>
          <w:rFonts w:ascii="Arial" w:cs="Arial" w:eastAsia="Arial" w:hAnsi="Arial"/>
          <w:i/>
          <w:iCs/>
          <w:color w:val="666666"/>
          <w:sz w:val="14"/>
          <w:szCs w:val="14"/>
        </w:rPr>
        <w:t xml:space="preserve">Market sources (June 2026): roundups by Surmado, Quattr, Visiblie, Keytomic, SearchInfluence; funding and pricing from vendor publications. Internal Content AI assessment.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2026-06-03T23:01:22.809Z</dcterms:created>
  <dcterms:modified xsi:type="dcterms:W3CDTF">2026-06-03T23:01:22.809Z</dcterms:modified>
</cp:coreProperties>
</file>

<file path=docProps/custom.xml><?xml version="1.0" encoding="utf-8"?>
<Properties xmlns="http://schemas.openxmlformats.org/officeDocument/2006/custom-properties" xmlns:vt="http://schemas.openxmlformats.org/officeDocument/2006/docPropsVTypes"/>
</file>