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ind w:firstLine="0"/>
        <w:jc w:val="center"/>
      </w:pPr>
      <w:r>
        <w:rPr>
          <w:rFonts w:ascii="Times New Roman" w:hAnsi="Times New Roman" w:eastAsia="Times New Roman"/>
          <w:b w:val="0"/>
          <w:i w:val="0"/>
          <w:color w:val="000000"/>
          <w:sz w:val="24"/>
          <w:color/>
        </w:rPr>
        <w:t>Vilniaus Gedimino technikos universitetas</w:t>
      </w:r>
    </w:p>
    <w:p>
      <w:pPr>
        <w:spacing w:after="0" w:before="0" w:line="276" w:lineRule="auto"/>
        <w:ind w:firstLine="0"/>
        <w:jc w:val="center"/>
      </w:pPr>
      <w:r>
        <w:rPr>
          <w:rFonts w:ascii="Times New Roman" w:hAnsi="Times New Roman" w:eastAsia="Times New Roman"/>
          <w:b w:val="0"/>
          <w:i w:val="0"/>
          <w:color w:val="000000"/>
          <w:sz w:val="24"/>
          <w:color/>
        </w:rPr>
        <w:t>Intelektualiosios sistemos. Magistro studijos</w:t>
      </w:r>
    </w:p>
    <w:p>
      <w:pPr>
        <w:spacing w:after="80" w:before="200" w:line="276" w:lineRule="auto"/>
        <w:ind w:firstLine="0"/>
        <w:jc w:val="center"/>
      </w:pPr>
      <w:r>
        <w:rPr>
          <w:rFonts w:ascii="Times New Roman" w:hAnsi="Times New Roman" w:eastAsia="Times New Roman"/>
          <w:b/>
          <w:i w:val="0"/>
          <w:color w:val="000000"/>
          <w:sz w:val="28"/>
          <w:color/>
        </w:rPr>
        <w:t>Galutinio egzamino ataskaita</w:t>
      </w:r>
    </w:p>
    <w:p>
      <w:pPr>
        <w:spacing w:after="80" w:before="0" w:line="276" w:lineRule="auto"/>
        <w:ind w:firstLine="0"/>
        <w:jc w:val="center"/>
      </w:pPr>
      <w:r>
        <w:rPr>
          <w:rFonts w:ascii="Times New Roman" w:hAnsi="Times New Roman" w:eastAsia="Times New Roman"/>
          <w:b/>
          <w:i w:val="0"/>
          <w:color w:val="000000"/>
          <w:sz w:val="24"/>
          <w:color/>
        </w:rPr>
        <w:t>Vyno kokybės vertinimas pagal fizikinius ir cheminius matavimus</w:t>
      </w:r>
    </w:p>
    <w:p>
      <w:pPr>
        <w:spacing w:after="200" w:before="0" w:line="276" w:lineRule="auto"/>
        <w:ind w:firstLine="0"/>
        <w:jc w:val="center"/>
      </w:pPr>
      <w:r>
        <w:rPr>
          <w:rFonts w:ascii="Times New Roman" w:hAnsi="Times New Roman" w:eastAsia="Times New Roman"/>
          <w:b w:val="0"/>
          <w:i/>
          <w:color w:val="000000"/>
          <w:sz w:val="22"/>
          <w:color/>
        </w:rPr>
        <w:t>Marcin Bužinski, ESKfm-26. 2026-09-20. Visi skaičiai paimti iš results/metrics.json po komandos python -m winequality.run_experiment.</w:t>
      </w:r>
    </w:p>
    <w:p>
      <w:pPr>
        <w:keepNext/>
        <w:spacing w:before="200" w:after="120" w:line="276" w:lineRule="auto"/>
        <w:ind w:firstLine="0"/>
        <w:jc w:val="left"/>
      </w:pPr>
      <w:r>
        <w:rPr>
          <w:rFonts w:ascii="Times New Roman" w:hAnsi="Times New Roman" w:eastAsia="Times New Roman"/>
          <w:b/>
          <w:i w:val="0"/>
          <w:color w:val="000000"/>
          <w:sz w:val="24"/>
          <w:color/>
        </w:rPr>
        <w:t>1. Problema, įvestis ir išvestis</w:t>
      </w:r>
    </w:p>
    <w:p>
      <w:pPr>
        <w:spacing w:after="120" w:before="0" w:line="276" w:lineRule="auto"/>
        <w:ind w:firstLine="425"/>
        <w:jc w:val="both"/>
      </w:pPr>
      <w:r>
        <w:rPr>
          <w:rFonts w:ascii="Times New Roman" w:hAnsi="Times New Roman" w:eastAsia="Times New Roman"/>
          <w:b w:val="0"/>
          <w:i w:val="0"/>
          <w:color w:val="000000"/>
          <w:sz w:val="24"/>
          <w:color/>
        </w:rPr>
        <w:t>Gamintojas nori iš 11 standartinių laboratorinių matavimų prognozuoti ekspertų suteiktą vyno kokybės balą. Duomenys – UCI Wine Quality (Cortez ir kt., 2009; DOI 10.1016/j.dss.2009.05.016): 1599 raudono ir 4898 balto Vinho Verde mėginiai, trūkstamų reikšmių nėra. Taikinys quality yra medianinis aklas vertinimas skalėje 0–10, šiame rinkinyje stebimi balai 3–9. Sunkumai: subjektyvus žymėjimas (vienas balas – triukšminga imtis), ordinalinė skalė, stiprus klasių disbalansas (dominuoja 5–6) ir 15,0 % / 19,1 % tikslių eilučių dublikatų, kurie atsitiktiniame skaidyme nutekina testą.</w:t>
      </w:r>
    </w:p>
    <w:p>
      <w:pPr>
        <w:spacing w:after="80" w:before="0" w:line="276" w:lineRule="auto"/>
        <w:ind w:firstLine="425"/>
        <w:jc w:val="both"/>
      </w:pPr>
      <w:r>
        <w:rPr>
          <w:rFonts w:ascii="Times New Roman" w:hAnsi="Times New Roman" w:eastAsia="Times New Roman"/>
          <w:b w:val="0"/>
          <w:i w:val="0"/>
          <w:color w:val="000000"/>
          <w:sz w:val="24"/>
          <w:color/>
        </w:rPr>
        <w:t>Techninė užduotis: regresija su tolesniu apvalinimu į sveiką balą ir tris verslo klases. Įvestis – 11 realiųjų požymių pirminiais vienetais ir vyno tipas (raudonas arba baltas). Išvestis apibrėžta 1 lentelėje. Modelis nekeičia degustatorių – tai antros nuomonės ir rūšiavimo įrankis, kai |f(x) − y| &gt; 1.</w:t>
      </w:r>
    </w:p>
    <w:p>
      <w:pPr>
        <w:spacing w:after="80" w:before="0" w:line="276" w:lineRule="auto"/>
        <w:ind w:firstLine="0"/>
        <w:jc w:val="both"/>
      </w:pPr>
      <w:r>
        <w:rPr>
          <w:rFonts w:ascii="Times New Roman" w:hAnsi="Times New Roman" w:eastAsia="Times New Roman"/>
          <w:b w:val="0"/>
          <w:i w:val="0"/>
          <w:color w:val="000000"/>
          <w:sz w:val="24"/>
          <w:color/>
        </w:rPr>
        <w:t>1 lentelė. Sistemos įvestis ir išvestis.</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Elementas</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Tipas</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Interpretacija</w:t>
            </w:r>
          </w:p>
        </w:tc>
      </w:tr>
      <w:tr>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Įvestis x</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11 realiųjų + tipas</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Laboratorijos eilutė; pH už 2,5–4,5 atmetama</w:t>
            </w:r>
          </w:p>
        </w:tc>
      </w:tr>
      <w:tr>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score_cont</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realusis f(x)</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Tikėtinas ekspertų balas, pvz. 6,3 arčiau 6 nei 7</w:t>
            </w:r>
          </w:p>
        </w:tc>
      </w:tr>
      <w:tr>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score_int</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sveikasis 3–9</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q̂ = min(9, max(3, round(f)))</w:t>
            </w:r>
          </w:p>
        </w:tc>
      </w:tr>
      <w:tr>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class</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žema / vidutinė / aukšta</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≤4 / 5–6 / ≥7</w:t>
            </w:r>
          </w:p>
        </w:tc>
      </w:tr>
      <w:tr>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confidence</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 1]</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1 − 2|f − q̂|; 0 – ant apvalinimo ribos</w:t>
            </w:r>
          </w:p>
        </w:tc>
      </w:tr>
      <w:tr>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flags</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sąrašas</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extrapolation, disagreement, extreme</w:t>
            </w:r>
          </w:p>
        </w:tc>
      </w:tr>
    </w:tbl>
    <w:p>
      <w:pPr>
        <w:spacing w:after="40"/>
      </w:pPr>
    </w:p>
    <w:p>
      <w:pPr>
        <w:spacing w:after="160" w:before="0" w:line="276" w:lineRule="auto"/>
        <w:ind w:firstLine="0"/>
        <w:jc w:val="center"/>
      </w:pPr>
      <w:r>
        <w:rPr>
          <w:rFonts w:ascii="Times New Roman" w:hAnsi="Times New Roman" w:eastAsia="Times New Roman"/>
          <w:b w:val="0"/>
          <w:i/>
          <w:color w:val="000000"/>
          <w:sz w:val="22"/>
          <w:color/>
        </w:rPr>
        <w:t>1 lentelė. Sutartis: winequality/postprocess.py ir predict.py.</w:t>
      </w:r>
    </w:p>
    <w:p>
      <w:pPr>
        <w:keepNext/>
        <w:spacing w:before="200" w:after="120" w:line="276" w:lineRule="auto"/>
        <w:ind w:firstLine="0"/>
        <w:jc w:val="left"/>
      </w:pPr>
      <w:r>
        <w:rPr>
          <w:rFonts w:ascii="Times New Roman" w:hAnsi="Times New Roman" w:eastAsia="Times New Roman"/>
          <w:b/>
          <w:i w:val="0"/>
          <w:color w:val="000000"/>
          <w:sz w:val="24"/>
          <w:color/>
        </w:rPr>
        <w:t>2. Duomenų paruošimo grandinė ir skaidymas</w:t>
      </w:r>
    </w:p>
    <w:p>
      <w:pPr>
        <w:spacing w:after="120" w:before="0" w:line="276" w:lineRule="auto"/>
        <w:ind w:firstLine="425"/>
        <w:jc w:val="both"/>
      </w:pPr>
      <w:r>
        <w:rPr>
          <w:rFonts w:ascii="Times New Roman" w:hAnsi="Times New Roman" w:eastAsia="Times New Roman"/>
          <w:b w:val="0"/>
          <w:i w:val="0"/>
          <w:color w:val="000000"/>
          <w:sz w:val="24"/>
          <w:color/>
        </w:rPr>
        <w:t>Grandinė: (1) atsisiuntimas iš UCI ir SHA-256 patikra (winequality/data_io.py); (2) dublikatų grupės – SHA-256 iš 11 požymių, identiškos eilutės niekada neatsiduria skirtingose pusėse (winequality/splits.py, StratifiedGroupKFold, sėkla SPLIT_SEED = 0); (3) 20 % testo aibė užšaldoma, 80 % lieka mokymui; (4) log1p asimetriškiems požymiams (cukrus, chloridai, laisvas ir bendras SO2, sulfatai) ir z-standartizavimas tik pagal mokymo klostę (winequality/transform.py: x′j = ln(1+xj), zj = (x′j − μj)/σj). Raudonas ir baltas vynas mokomi atskirai. Gauta: raudonas 1279/320, baltas 3919/979; persidengiančių grupių tarp mokymo ir testo – 0.</w:t>
      </w:r>
    </w:p>
    <w:p>
      <w:pPr>
        <w:spacing w:after="120" w:before="0" w:line="276" w:lineRule="auto"/>
        <w:ind w:firstLine="425"/>
        <w:jc w:val="both"/>
      </w:pPr>
      <w:r>
        <w:rPr>
          <w:rFonts w:ascii="Times New Roman" w:hAnsi="Times New Roman" w:eastAsia="Times New Roman"/>
          <w:b w:val="0"/>
          <w:i w:val="0"/>
          <w:color w:val="000000"/>
          <w:sz w:val="24"/>
          <w:color/>
        </w:rPr>
        <w:t>Hiperparametrai parenkami RandomizedSearchCV su GroupKFold (3 klostės) tik mokymo bloke. Užšaldytas testas liestas vieną kartą, po visų metodų mokymo. Modelių sėkla DEFAULT_SEED = 0. SVR – 12 atsitiktinių konfigūracijų, MLP, RBF tinklas ir miškas – po 8.</w:t>
      </w:r>
    </w:p>
    <w:p>
      <w:pPr>
        <w:keepNext/>
        <w:spacing w:before="200" w:after="120" w:line="276" w:lineRule="auto"/>
        <w:ind w:firstLine="0"/>
        <w:jc w:val="left"/>
      </w:pPr>
      <w:r>
        <w:rPr>
          <w:rFonts w:ascii="Times New Roman" w:hAnsi="Times New Roman" w:eastAsia="Times New Roman"/>
          <w:b/>
          <w:i w:val="0"/>
          <w:color w:val="000000"/>
          <w:sz w:val="24"/>
          <w:color/>
        </w:rPr>
        <w:t>3. Modeliai ir formulės ryšys su kodu</w:t>
      </w:r>
    </w:p>
    <w:p>
      <w:pPr>
        <w:spacing w:after="80" w:before="0" w:line="276" w:lineRule="auto"/>
        <w:ind w:firstLine="425"/>
        <w:jc w:val="both"/>
      </w:pPr>
      <w:r>
        <w:rPr>
          <w:rFonts w:ascii="Times New Roman" w:hAnsi="Times New Roman" w:eastAsia="Times New Roman"/>
          <w:b w:val="0"/>
          <w:i w:val="0"/>
          <w:color w:val="000000"/>
          <w:sz w:val="24"/>
          <w:color/>
        </w:rPr>
        <w:t>Privalomi baseline: vidurkio prognozė ŷ = ȳ_mok (winequality/baselines.py, mean_predictor) ir tiesinė regresija f(z) = w⊤z + b po to paties log1p+z paruošimo (linear_pipeline, OLS). Intelektualieji metodai pagal kolokviumo planą: SVR su Gauso branduoliu (pagrindinis), MLP, RBF tinklas ir atsitiktinis miškas.</w:t>
      </w:r>
    </w:p>
    <w:p>
      <w:pPr>
        <w:spacing w:after="80" w:before="0" w:line="276" w:lineRule="auto"/>
        <w:ind w:firstLine="425"/>
        <w:jc w:val="both"/>
      </w:pPr>
      <w:r>
        <w:rPr>
          <w:rFonts w:ascii="Times New Roman" w:hAnsi="Times New Roman" w:eastAsia="Times New Roman"/>
          <w:b w:val="0"/>
          <w:i w:val="0"/>
          <w:color w:val="000000"/>
          <w:sz w:val="24"/>
          <w:color/>
        </w:rPr>
        <w:t>SVR naudojimo formulė įgyvendinta tiesiogiai, ne tik komentaru. Branduolys K(zi, z) = exp(−γ‖zi − z‖²) yra funkcija rbf_kernel (winequality/svr_model.py, 29–39 eil.). Dualinė prognozė f(z) = Σi∈SV (αi − αi*) K(zi, z) + b yra predict_from_dual (42–55 eil.); sklearn dual_coef_ ir yra (α − α*). Naudojimo kelias formula_predict (96–108 eil.) pirmiausia taiko Log1pStandardScaler, tada šią sumą. Teste ir eksperimente max |formulė − sklearn.predict| buvo 8,5·10⁻¹⁴ (raudonas) ir 1,6·10⁻¹² (baltas). Mokymas (LIBSVM/SMO) minimizuoja ½‖w‖² + C Σ(ξi+ξi*) su ε-nejautriomis nelygybėmis. Parinkti hiperparametrai – 2 lentelėje.</w:t>
      </w:r>
    </w:p>
    <w:p>
      <w:pPr>
        <w:spacing w:after="80" w:before="0" w:line="276" w:lineRule="auto"/>
        <w:ind w:firstLine="425"/>
        <w:jc w:val="both"/>
      </w:pPr>
      <w:r>
        <w:rPr>
          <w:rFonts w:ascii="Times New Roman" w:hAnsi="Times New Roman" w:eastAsia="Times New Roman"/>
          <w:b w:val="0"/>
          <w:i w:val="0"/>
          <w:color w:val="000000"/>
          <w:sz w:val="24"/>
          <w:color/>
        </w:rPr>
        <w:t>MLP: f(z) gaunamas sluoksniuotu persiuntimu h = act(W1 z + b1), išėjimas w2⊤h + b2; Adam, L2 ir ankstyvasis stabdymas iš 10 % mokymo (ne testo). RBF tinklas (LD3, winequality/rbf.py): centrai k-vidurkiais, φk(z) = exp(−‖z−ck‖²/(2σk²)) funkcijoje hidden_activations, svoriai ridge uždara formule, prognozė predict_from_rbf. Miškas: medžių vidurkis, laiptuota prognozė be ekstrapoliacijos.</w:t>
      </w:r>
    </w:p>
    <w:p>
      <w:pPr>
        <w:spacing w:after="80" w:before="0" w:line="276" w:lineRule="auto"/>
        <w:ind w:firstLine="0"/>
        <w:jc w:val="both"/>
      </w:pPr>
      <w:r>
        <w:rPr>
          <w:rFonts w:ascii="Times New Roman" w:hAnsi="Times New Roman" w:eastAsia="Times New Roman"/>
          <w:b w:val="0"/>
          <w:i w:val="0"/>
          <w:color w:val="000000"/>
          <w:sz w:val="24"/>
          <w:color/>
        </w:rPr>
        <w:t>2 lentelė. Vidinės GroupKFold paieškos nugalėtojai (testas nenaudotas).</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Modelis</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Raudonas</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Baltas</w:t>
            </w:r>
          </w:p>
        </w:tc>
      </w:tr>
      <w:tr>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SVR C; ε; γ</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2,10; 0,05; 0,069</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2,10; 0,05; 0,069</w:t>
            </w:r>
          </w:p>
        </w:tc>
      </w:tr>
      <w:tr>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MLP</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tanh, 64, α=3,5·10⁻³</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ReLU, 16, α=1,5·10⁻³</w:t>
            </w:r>
          </w:p>
        </w:tc>
      </w:tr>
      <w:tr>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RBF tinklas</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K=80, kaim. 2, λ=0,24</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K=80, kaim. 2, λ=0,24</w:t>
            </w:r>
          </w:p>
        </w:tc>
      </w:tr>
      <w:tr>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Miškas</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400 medžių, gylis laisvas</w:t>
            </w:r>
          </w:p>
        </w:tc>
        <w:tc>
          <w:tcPr>
            <w:tcW w:type="dxa" w:w="3024"/>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400 medžių, gylis laisvas</w:t>
            </w:r>
          </w:p>
        </w:tc>
      </w:tr>
    </w:tbl>
    <w:p>
      <w:pPr>
        <w:spacing w:after="40"/>
      </w:pPr>
    </w:p>
    <w:p>
      <w:pPr>
        <w:spacing w:after="160" w:before="0" w:line="276" w:lineRule="auto"/>
        <w:ind w:firstLine="0"/>
        <w:jc w:val="center"/>
      </w:pPr>
      <w:r>
        <w:rPr>
          <w:rFonts w:ascii="Times New Roman" w:hAnsi="Times New Roman" w:eastAsia="Times New Roman"/>
          <w:b w:val="0"/>
          <w:i/>
          <w:color w:val="000000"/>
          <w:sz w:val="22"/>
          <w:color/>
        </w:rPr>
        <w:t>2 lentelė. Šaltinis: results/metrics.json, laukai *_tune.</w:t>
      </w:r>
    </w:p>
    <w:p>
      <w:pPr>
        <w:keepNext/>
        <w:spacing w:before="200" w:after="120" w:line="276" w:lineRule="auto"/>
        <w:ind w:firstLine="0"/>
        <w:jc w:val="left"/>
      </w:pPr>
      <w:r>
        <w:rPr>
          <w:rFonts w:ascii="Times New Roman" w:hAnsi="Times New Roman" w:eastAsia="Times New Roman"/>
          <w:b/>
          <w:i w:val="0"/>
          <w:color w:val="000000"/>
          <w:sz w:val="24"/>
          <w:color/>
        </w:rPr>
        <w:t>4. Metrikos</w:t>
      </w:r>
    </w:p>
    <w:p>
      <w:pPr>
        <w:spacing w:after="120" w:before="0" w:line="276" w:lineRule="auto"/>
        <w:ind w:firstLine="425"/>
        <w:jc w:val="both"/>
      </w:pPr>
      <w:r>
        <w:rPr>
          <w:rFonts w:ascii="Times New Roman" w:hAnsi="Times New Roman" w:eastAsia="Times New Roman"/>
          <w:b w:val="0"/>
          <w:i w:val="0"/>
          <w:color w:val="000000"/>
          <w:sz w:val="24"/>
          <w:color/>
        </w:rPr>
        <w:t>Visoms sistemoms tas pats rinkinys (winequality/metrics.py): MAE = (1/M) Σ |yi − f(xi)| (pagrindinė); RMSE; Acc_T = dalis, kai |yi − f| ≤ T, T ∈ {0,5; 1,0}; kvadratinė svertinė kappa κw; po apvalinimo – makro-F1 ir painiavos matricos 7×7 (balai) bei 3×3 (klasės). Klasės ribos paliktos ≤4 / 5–6 / ≥7, kad makro-F1 būtų skaičiuojamas ne tuščioms kraštinėms klasėms.</w:t>
      </w:r>
    </w:p>
    <w:p>
      <w:pPr>
        <w:keepNext/>
        <w:spacing w:before="200" w:after="120" w:line="276" w:lineRule="auto"/>
        <w:ind w:firstLine="0"/>
        <w:jc w:val="left"/>
      </w:pPr>
      <w:r>
        <w:rPr>
          <w:rFonts w:ascii="Times New Roman" w:hAnsi="Times New Roman" w:eastAsia="Times New Roman"/>
          <w:b/>
          <w:i w:val="0"/>
          <w:color w:val="000000"/>
          <w:sz w:val="24"/>
          <w:color/>
        </w:rPr>
        <w:t>5. Rezultatai</w:t>
      </w:r>
    </w:p>
    <w:p>
      <w:pPr>
        <w:spacing w:after="80" w:before="0" w:line="276" w:lineRule="auto"/>
        <w:ind w:firstLine="0"/>
        <w:jc w:val="both"/>
      </w:pPr>
      <w:r>
        <w:rPr>
          <w:rFonts w:ascii="Times New Roman" w:hAnsi="Times New Roman" w:eastAsia="Times New Roman"/>
          <w:b w:val="0"/>
          <w:i w:val="0"/>
          <w:color w:val="000000"/>
          <w:sz w:val="24"/>
          <w:color/>
        </w:rPr>
        <w:t>3 lentelė. Užšaldytos testo aibės metrikos. Mažesnis MAE – geriau. Šaltinis: results/comparison.csv.</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Vynas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Modelis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MAE</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Acc 0,5</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Acc 1,0</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κw</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makro-F1</w:t>
            </w:r>
          </w:p>
        </w:tc>
      </w:tr>
      <w:tr>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raudonas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vidurkis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0,684</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0,400</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0,825</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0,000</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0,301</w:t>
            </w:r>
          </w:p>
        </w:tc>
      </w:tr>
      <w:tr>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raudonas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tiesinė</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0,491</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0,622</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0,875</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0,541</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0,508</w:t>
            </w:r>
          </w:p>
        </w:tc>
      </w:tr>
      <w:tr>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raudonas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SVR-RBF</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0,473</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0,609</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0,900</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0,581</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0,470</w:t>
            </w:r>
          </w:p>
        </w:tc>
      </w:tr>
      <w:tr>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raudonas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MLP</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0,472</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0,650</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0,881</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0,618</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0,536</w:t>
            </w:r>
          </w:p>
        </w:tc>
      </w:tr>
      <w:tr>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raudonas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RBF tinklas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0,497</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0,628</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0,875</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0,589</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0,547</w:t>
            </w:r>
          </w:p>
        </w:tc>
      </w:tr>
      <w:tr>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raudonas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miškas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0,485</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0,603</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0,891</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0,595</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0,548</w:t>
            </w:r>
          </w:p>
        </w:tc>
      </w:tr>
      <w:tr>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baltas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vidurkis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0,673</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0,448</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0,746</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0,000</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0,285</w:t>
            </w:r>
          </w:p>
        </w:tc>
      </w:tr>
      <w:tr>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baltas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tiesinė</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0,573</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0,520</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0,863</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0,445</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0,456</w:t>
            </w:r>
          </w:p>
        </w:tc>
      </w:tr>
      <w:tr>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baltas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SVR-RBF</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0,534</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0,544</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0,857</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0,542</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0,516</w:t>
            </w:r>
          </w:p>
        </w:tc>
      </w:tr>
      <w:tr>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baltas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MLP</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0,572</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0,519</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0,842</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0,474</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0,495</w:t>
            </w:r>
          </w:p>
        </w:tc>
      </w:tr>
      <w:tr>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baltas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RBF tinklas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0,552</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0,542</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0,865</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0,500</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0,476</w:t>
            </w:r>
          </w:p>
        </w:tc>
      </w:tr>
      <w:tr>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baltas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miškas</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0,532</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0,567</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0,868</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0,554</w:t>
            </w:r>
          </w:p>
        </w:tc>
        <w:tc>
          <w:tcPr>
            <w:tcW w:type="dxa" w:w="1296"/>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0,490</w:t>
            </w:r>
          </w:p>
        </w:tc>
      </w:tr>
    </w:tbl>
    <w:p>
      <w:pPr>
        <w:spacing w:after="40"/>
      </w:pPr>
    </w:p>
    <w:p>
      <w:pPr>
        <w:spacing w:after="160" w:before="0" w:line="276" w:lineRule="auto"/>
        <w:ind w:firstLine="0"/>
        <w:jc w:val="center"/>
      </w:pPr>
      <w:r>
        <w:rPr>
          <w:rFonts w:ascii="Times New Roman" w:hAnsi="Times New Roman" w:eastAsia="Times New Roman"/>
          <w:b w:val="0"/>
          <w:i/>
          <w:color w:val="000000"/>
          <w:sz w:val="22"/>
          <w:color/>
        </w:rPr>
        <w:t>3 lentelė. Palyginimas tuo pačiu grupiniu 80/20 skaidymu.</w:t>
      </w:r>
    </w:p>
    <w:p>
      <w:pPr>
        <w:spacing w:after="40"/>
        <w:ind w:firstLine="0"/>
        <w:jc w:val="center"/>
      </w:pPr>
      <w:r>
        <w:rPr>
          <w:rFonts w:ascii="Times New Roman" w:hAnsi="Times New Roman" w:eastAsia="Times New Roman"/>
          <w:b w:val="0"/>
          <w:i w:val="0"/>
          <w:color w:val="000000"/>
          <w:sz w:val="24"/>
          <w:color/>
        </w:rPr>
        <w:drawing>
          <wp:inline xmlns:a="http://schemas.openxmlformats.org/drawingml/2006/main" xmlns:pic="http://schemas.openxmlformats.org/drawingml/2006/picture">
            <wp:extent cx="5400000" cy="2362500"/>
            <wp:docPr id="1" name="Picture 1"/>
            <wp:cNvGraphicFramePr>
              <a:graphicFrameLocks noChangeAspect="1"/>
            </wp:cNvGraphicFramePr>
            <a:graphic>
              <a:graphicData uri="http://schemas.openxmlformats.org/drawingml/2006/picture">
                <pic:pic>
                  <pic:nvPicPr>
                    <pic:cNvPr id="0" name="mae_color.png"/>
                    <pic:cNvPicPr/>
                  </pic:nvPicPr>
                  <pic:blipFill>
                    <a:blip r:embed="rId9"/>
                    <a:stretch>
                      <a:fillRect/>
                    </a:stretch>
                  </pic:blipFill>
                  <pic:spPr>
                    <a:xfrm>
                      <a:off x="0" y="0"/>
                      <a:ext cx="5400000" cy="2362500"/>
                    </a:xfrm>
                    <a:prstGeom prst="rect"/>
                  </pic:spPr>
                </pic:pic>
              </a:graphicData>
            </a:graphic>
          </wp:inline>
        </w:drawing>
      </w:r>
    </w:p>
    <w:p>
      <w:pPr>
        <w:spacing w:after="160" w:before="0" w:line="276" w:lineRule="auto"/>
        <w:ind w:firstLine="0"/>
        <w:jc w:val="center"/>
      </w:pPr>
      <w:r>
        <w:rPr>
          <w:rFonts w:ascii="Times New Roman" w:hAnsi="Times New Roman" w:eastAsia="Times New Roman"/>
          <w:b w:val="0"/>
          <w:i/>
          <w:color w:val="000000"/>
          <w:sz w:val="22"/>
          <w:color/>
        </w:rPr>
        <w:t>1 pav. Testo MAE pagal modelį ir vyno tipą.</w:t>
      </w:r>
    </w:p>
    <w:p>
      <w:pPr>
        <w:spacing w:after="120" w:before="0" w:line="276" w:lineRule="auto"/>
        <w:ind w:firstLine="425"/>
        <w:jc w:val="both"/>
      </w:pPr>
      <w:r>
        <w:rPr>
          <w:rFonts w:ascii="Times New Roman" w:hAnsi="Times New Roman" w:eastAsia="Times New Roman"/>
          <w:b w:val="0"/>
          <w:i w:val="0"/>
          <w:color w:val="000000"/>
          <w:sz w:val="24"/>
          <w:color/>
        </w:rPr>
        <w:t>Raudonam vynui mažiausią MAE turi MLP (0,472) ir SVR (0,473), tiesinė – 0,491, miškas – 0,485, RBF tinklas – 0,497, vidurkis – 0,684. Baltam: miškas 0,532, SVR 0,534, RBF tinklas 0,552, MLP 0,572 (beveik tiesinė 0,573), vidurkis 0,673. Hipotezė H1 (SVR MAE ≤ 0,95×tiesinės) baltam galioja (gerinimas 6,9 %), raudonam – ne (tik 3,5 %). Tai neigiamas, bet korektiškas rezultatas: protokolas laikytas, slenkstis raudonai imčiai buvo griežtas. H2 (SVR − RF ≤ 0,02 MAE) galioja abiem (−0,011 ir +0,002), todėl pagal planą pagrindinis metodas lieka SVR: miškas nepranoko 0,02 slenksčio, o jo prognozė laiptuota. RBF tinklas baltam yra tarp tiesinės ir SVR – kaip ir tikėtasi iš fiksuotų centrų palyginimo su adaptyviais atraminiais vektoriais. MLP raudonam lygiavertis SVR, baltam – ne; lentelinė asimetriška imtis MLP nepalanki.</w:t>
      </w:r>
    </w:p>
    <w:p>
      <w:pPr>
        <w:spacing w:after="40"/>
        <w:ind w:firstLine="0"/>
        <w:jc w:val="center"/>
      </w:pPr>
      <w:r>
        <w:rPr>
          <w:rFonts w:ascii="Times New Roman" w:hAnsi="Times New Roman" w:eastAsia="Times New Roman"/>
          <w:b w:val="0"/>
          <w:i w:val="0"/>
          <w:color w:val="000000"/>
          <w:sz w:val="24"/>
          <w:color/>
        </w:rPr>
        <w:drawing>
          <wp:inline xmlns:a="http://schemas.openxmlformats.org/drawingml/2006/main" xmlns:pic="http://schemas.openxmlformats.org/drawingml/2006/picture">
            <wp:extent cx="2951999" cy="2415272"/>
            <wp:docPr id="2" name="Picture 2"/>
            <wp:cNvGraphicFramePr>
              <a:graphicFrameLocks noChangeAspect="1"/>
            </wp:cNvGraphicFramePr>
            <a:graphic>
              <a:graphicData uri="http://schemas.openxmlformats.org/drawingml/2006/picture">
                <pic:pic>
                  <pic:nvPicPr>
                    <pic:cNvPr id="0" name="conf_red_color.png"/>
                    <pic:cNvPicPr/>
                  </pic:nvPicPr>
                  <pic:blipFill>
                    <a:blip r:embed="rId10"/>
                    <a:stretch>
                      <a:fillRect/>
                    </a:stretch>
                  </pic:blipFill>
                  <pic:spPr>
                    <a:xfrm>
                      <a:off x="0" y="0"/>
                      <a:ext cx="2951999" cy="2415272"/>
                    </a:xfrm>
                    <a:prstGeom prst="rect"/>
                  </pic:spPr>
                </pic:pic>
              </a:graphicData>
            </a:graphic>
          </wp:inline>
        </w:drawing>
      </w:r>
    </w:p>
    <w:p>
      <w:pPr>
        <w:spacing w:after="160" w:before="0" w:line="276" w:lineRule="auto"/>
        <w:ind w:firstLine="0"/>
        <w:jc w:val="center"/>
      </w:pPr>
      <w:r>
        <w:rPr>
          <w:rFonts w:ascii="Times New Roman" w:hAnsi="Times New Roman" w:eastAsia="Times New Roman"/>
          <w:b w:val="0"/>
          <w:i/>
          <w:color w:val="000000"/>
          <w:sz w:val="22"/>
          <w:color/>
        </w:rPr>
        <w:t>2 pav. SVR 3×3 painiavos matrica, raudonas vynas.</w:t>
      </w:r>
    </w:p>
    <w:p>
      <w:pPr>
        <w:spacing w:after="40"/>
        <w:ind w:firstLine="0"/>
        <w:jc w:val="center"/>
      </w:pPr>
      <w:r>
        <w:rPr>
          <w:rFonts w:ascii="Times New Roman" w:hAnsi="Times New Roman" w:eastAsia="Times New Roman"/>
          <w:b w:val="0"/>
          <w:i w:val="0"/>
          <w:color w:val="000000"/>
          <w:sz w:val="24"/>
          <w:color/>
        </w:rPr>
        <w:drawing>
          <wp:inline xmlns:a="http://schemas.openxmlformats.org/drawingml/2006/main" xmlns:pic="http://schemas.openxmlformats.org/drawingml/2006/picture">
            <wp:extent cx="2951999" cy="2415272"/>
            <wp:docPr id="3" name="Picture 3"/>
            <wp:cNvGraphicFramePr>
              <a:graphicFrameLocks noChangeAspect="1"/>
            </wp:cNvGraphicFramePr>
            <a:graphic>
              <a:graphicData uri="http://schemas.openxmlformats.org/drawingml/2006/picture">
                <pic:pic>
                  <pic:nvPicPr>
                    <pic:cNvPr id="0" name="conf_white_color.png"/>
                    <pic:cNvPicPr/>
                  </pic:nvPicPr>
                  <pic:blipFill>
                    <a:blip r:embed="rId11"/>
                    <a:stretch>
                      <a:fillRect/>
                    </a:stretch>
                  </pic:blipFill>
                  <pic:spPr>
                    <a:xfrm>
                      <a:off x="0" y="0"/>
                      <a:ext cx="2951999" cy="2415272"/>
                    </a:xfrm>
                    <a:prstGeom prst="rect"/>
                  </pic:spPr>
                </pic:pic>
              </a:graphicData>
            </a:graphic>
          </wp:inline>
        </w:drawing>
      </w:r>
    </w:p>
    <w:p>
      <w:pPr>
        <w:spacing w:after="160" w:before="0" w:line="276" w:lineRule="auto"/>
        <w:ind w:firstLine="0"/>
        <w:jc w:val="center"/>
      </w:pPr>
      <w:r>
        <w:rPr>
          <w:rFonts w:ascii="Times New Roman" w:hAnsi="Times New Roman" w:eastAsia="Times New Roman"/>
          <w:b w:val="0"/>
          <w:i/>
          <w:color w:val="000000"/>
          <w:sz w:val="22"/>
          <w:color/>
        </w:rPr>
        <w:t>3 pav. SVR 3×3 painiavos matrica, baltas vynas.</w:t>
      </w:r>
    </w:p>
    <w:p>
      <w:pPr>
        <w:spacing w:after="80" w:before="0" w:line="276" w:lineRule="auto"/>
        <w:ind w:firstLine="425"/>
        <w:jc w:val="both"/>
      </w:pPr>
      <w:r>
        <w:rPr>
          <w:rFonts w:ascii="Times New Roman" w:hAnsi="Times New Roman" w:eastAsia="Times New Roman"/>
          <w:b w:val="0"/>
          <w:i w:val="0"/>
          <w:color w:val="000000"/>
          <w:sz w:val="24"/>
          <w:color/>
        </w:rPr>
        <w:t>2 pav. matyti klasės disbalanso kaina: visos 12 žemų raudono vyno testo mėginių priskirti vidutinei klasei; aukšta atpažįstama 19 iš 44. Baltam (3 pav.) žemų teisingai 4 iš 37, aukštų 92 iš 212. Makro-F1 todėl SVR raudonam (0,470) žemesnis nei miško (0,548) ir MLP (0,536), nors MAE geresnis ar lygus. Tai ordinalinės regresijos ir retų klasių konfliktas: MAE baudžia visus balus vienodai, makro-F1 – retas klases. Pasirinktas MAE, nes taikinys paliktas balais, o klasės – pagalbinės.</w:t>
      </w:r>
    </w:p>
    <w:p>
      <w:pPr>
        <w:keepNext/>
        <w:spacing w:before="200" w:after="120" w:line="276" w:lineRule="auto"/>
        <w:ind w:firstLine="0"/>
        <w:jc w:val="left"/>
      </w:pPr>
      <w:r>
        <w:rPr>
          <w:rFonts w:ascii="Times New Roman" w:hAnsi="Times New Roman" w:eastAsia="Times New Roman"/>
          <w:b/>
          <w:i w:val="0"/>
          <w:color w:val="000000"/>
          <w:sz w:val="24"/>
          <w:color/>
        </w:rPr>
        <w:t>6. Klaidų pavyzdžiai ir jautrumas</w:t>
      </w:r>
    </w:p>
    <w:p>
      <w:pPr>
        <w:spacing w:after="80" w:before="0" w:line="276" w:lineRule="auto"/>
        <w:ind w:firstLine="425"/>
        <w:jc w:val="both"/>
      </w:pPr>
      <w:r>
        <w:rPr>
          <w:rFonts w:ascii="Times New Roman" w:hAnsi="Times New Roman" w:eastAsia="Times New Roman"/>
          <w:b w:val="0"/>
          <w:i w:val="0"/>
          <w:color w:val="000000"/>
          <w:sz w:val="24"/>
          <w:color/>
        </w:rPr>
        <w:t>Pagal tikrą balą SVR raudonam: 3 balų mėginiai (n=2) pervertinami vidutiniškai +2,10, 8 balų (n=4) nuvertinami −1,59; 5–6 balų MAE 0,33–0,46. Baltam ta pati trauka į vidurkį: 3 balai +2,09, 9 balai −2,02. Tai regresija į vidurkį ir žymių triukšmas, ne mokymo klaida siaurąja prasme.</w:t>
      </w:r>
    </w:p>
    <w:p>
      <w:pPr>
        <w:spacing w:after="80" w:before="0" w:line="276" w:lineRule="auto"/>
        <w:ind w:firstLine="0"/>
        <w:jc w:val="both"/>
      </w:pPr>
      <w:r>
        <w:rPr>
          <w:rFonts w:ascii="Times New Roman" w:hAnsi="Times New Roman" w:eastAsia="Times New Roman"/>
          <w:b w:val="0"/>
          <w:i w:val="0"/>
          <w:color w:val="000000"/>
          <w:sz w:val="24"/>
          <w:color/>
        </w:rPr>
        <w:t>4 lentelė. SVR MAE ir poslinkis pagal tikrąjį balą (užšaldytas testas).</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Vynas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Balas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n</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MAE</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Vid. f</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Poslinkis</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raudonas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3</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2</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2,10</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5,10</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+2,10</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raudonas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5</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136</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0,33</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5,29</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+0,29</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raudonas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6</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128</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0,46</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5,81</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−0,19</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raudonas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8</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4</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1,59</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6,41</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−1,59</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baltas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3</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6</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2,09</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5,09</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+2,09</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baltas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6</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439</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0,39</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5,90</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−0,10</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baltas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8</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35</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1,40</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6,60</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−1,40</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baltas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9</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2,02</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6,98</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−2,02</w:t>
            </w:r>
          </w:p>
        </w:tc>
      </w:tr>
    </w:tbl>
    <w:p>
      <w:pPr>
        <w:spacing w:after="40"/>
      </w:pPr>
    </w:p>
    <w:p>
      <w:pPr>
        <w:spacing w:after="160" w:before="0" w:line="276" w:lineRule="auto"/>
        <w:ind w:firstLine="0"/>
        <w:jc w:val="center"/>
      </w:pPr>
      <w:r>
        <w:rPr>
          <w:rFonts w:ascii="Times New Roman" w:hAnsi="Times New Roman" w:eastAsia="Times New Roman"/>
          <w:b w:val="0"/>
          <w:i/>
          <w:color w:val="000000"/>
          <w:sz w:val="22"/>
          <w:color/>
        </w:rPr>
        <w:t>4 lentelė. Kraštai traukiami į 5–6; vidurinės klasės MAE priimtinas.</w:t>
      </w:r>
    </w:p>
    <w:p>
      <w:pPr>
        <w:spacing w:after="80" w:before="0" w:line="276" w:lineRule="auto"/>
        <w:ind w:firstLine="0"/>
        <w:jc w:val="both"/>
      </w:pPr>
      <w:r>
        <w:rPr>
          <w:rFonts w:ascii="Times New Roman" w:hAnsi="Times New Roman" w:eastAsia="Times New Roman"/>
          <w:b w:val="0"/>
          <w:i w:val="0"/>
          <w:color w:val="000000"/>
          <w:sz w:val="24"/>
          <w:color/>
        </w:rPr>
        <w:t>5 lentelė. Didžiausios |yi − f| SVR klaidos užšaldytame teste.</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Vynas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y</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f</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liekana</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Alkoholis, tūrio %</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i w:val="0"/>
                <w:color w:val="000000"/>
                <w:sz w:val="22"/>
                <w:color/>
              </w:rPr>
              <w:t>Lakiosios rūgštys</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raudonas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4</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6,29</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−2,29</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11,0</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0,53</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raudonas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3</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5,28</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−2,28</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9,7</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0,98</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raudonas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8</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6,08</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+1,92</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13,4</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0,62</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baltas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3</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6,07</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−3,07</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11,5</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0,32</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baltas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4</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6,58</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−2,58</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12,9</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0,64</w:t>
            </w:r>
          </w:p>
        </w:tc>
      </w:tr>
      <w:tr>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baltas</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8</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5,54</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+2,46</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10,5</w:t>
            </w:r>
          </w:p>
        </w:tc>
        <w:tc>
          <w:tcPr>
            <w:tcW w:type="dxa" w:w="1512"/>
            <w:shd w:fill="FFFFFF" w:val="clear"/>
            <w:tcBorders>
              <w:top w:val="single" w:sz="4" w:color="000000"/>
              <w:left w:val="single" w:sz="4" w:color="000000"/>
              <w:bottom w:val="single" w:sz="4" w:color="000000"/>
              <w:right w:val="single" w:sz="4" w:color="000000"/>
            </w:tcBorders>
          </w:tcPr>
          <w:p>
            <w:pPr>
              <w:spacing w:after="0" w:before="0"/>
              <w:ind w:firstLine="0"/>
              <w:jc w:val="center"/>
            </w:pPr>
            <w:r/>
            <w:r>
              <w:rPr>
                <w:rFonts w:ascii="Times New Roman" w:hAnsi="Times New Roman" w:eastAsia="Times New Roman"/>
                <w:b w:val="0"/>
                <w:i w:val="0"/>
                <w:color w:val="000000"/>
                <w:sz w:val="22"/>
                <w:color/>
              </w:rPr>
              <w:t>0,15</w:t>
            </w:r>
          </w:p>
        </w:tc>
      </w:tr>
    </w:tbl>
    <w:p>
      <w:pPr>
        <w:spacing w:after="40"/>
      </w:pPr>
    </w:p>
    <w:p>
      <w:pPr>
        <w:spacing w:after="160" w:before="0" w:line="276" w:lineRule="auto"/>
        <w:ind w:firstLine="0"/>
        <w:jc w:val="center"/>
      </w:pPr>
      <w:r>
        <w:rPr>
          <w:rFonts w:ascii="Times New Roman" w:hAnsi="Times New Roman" w:eastAsia="Times New Roman"/>
          <w:b w:val="0"/>
          <w:i/>
          <w:color w:val="000000"/>
          <w:sz w:val="22"/>
          <w:color/>
        </w:rPr>
        <w:t>5 lentelė. Šaltinis: results/error_examples_{red,white}.csv.</w:t>
      </w:r>
    </w:p>
    <w:p>
      <w:pPr>
        <w:spacing w:after="120" w:before="0" w:line="276" w:lineRule="auto"/>
        <w:ind w:firstLine="425"/>
        <w:jc w:val="both"/>
      </w:pPr>
      <w:r>
        <w:rPr>
          <w:rFonts w:ascii="Times New Roman" w:hAnsi="Times New Roman" w:eastAsia="Times New Roman"/>
          <w:b w:val="0"/>
          <w:i w:val="0"/>
          <w:color w:val="000000"/>
          <w:sz w:val="24"/>
          <w:color/>
        </w:rPr>
        <w:t>Klaidos ≥ 2 balų dažniausiai kraštiniuose taikiniuose. Jautrumo bandymas (požymis keičiamas nuo −1 iki +1 mokymo st. nuok., kiti – vidurkyje): alkoholis kelia f (raudonas Δf = +0,80, baltas +0,41), lakiosios rūgštys mažina (atitinkamai −0,44 ir −0,34). Kryptys sutampa su enologine teorija ir Pirsono koreliacijomis (alkoholis +0,48 / +0,44, lakiosios rūgštys raudonam −0,39).</w:t>
      </w:r>
    </w:p>
    <w:p>
      <w:pPr>
        <w:keepNext/>
        <w:spacing w:before="200" w:after="120" w:line="276" w:lineRule="auto"/>
        <w:ind w:firstLine="0"/>
        <w:jc w:val="left"/>
      </w:pPr>
      <w:r>
        <w:rPr>
          <w:rFonts w:ascii="Times New Roman" w:hAnsi="Times New Roman" w:eastAsia="Times New Roman"/>
          <w:b/>
          <w:i w:val="0"/>
          <w:color w:val="000000"/>
          <w:sz w:val="24"/>
          <w:color/>
        </w:rPr>
        <w:t>7. Abliacija ir atsparumas</w:t>
      </w:r>
    </w:p>
    <w:p>
      <w:pPr>
        <w:spacing w:after="80" w:before="0" w:line="276" w:lineRule="auto"/>
        <w:ind w:firstLine="425"/>
        <w:jc w:val="both"/>
      </w:pPr>
      <w:r>
        <w:rPr>
          <w:rFonts w:ascii="Times New Roman" w:hAnsi="Times New Roman" w:eastAsia="Times New Roman"/>
          <w:b w:val="0"/>
          <w:i w:val="0"/>
          <w:color w:val="000000"/>
          <w:sz w:val="24"/>
          <w:color/>
        </w:rPr>
        <w:t>Abliacija A1 (tas pats skaidymas): tiesinio branduolio SVR MAE 0,488 (raudonas) ir 0,571 (baltas), Gauso – 0,473 ir 0,534. Netiesinis branduolys duoda visą H1 gerinimą baltam; vien ε nuostolis su tiesiniu branduoliu tiesinės regresijos nepranoksta pakankamai. Tai pagrindžia Gauso branduolio pasirinkimą.</w:t>
      </w:r>
    </w:p>
    <w:p>
      <w:pPr>
        <w:spacing w:after="120" w:before="0" w:line="276" w:lineRule="auto"/>
        <w:ind w:firstLine="425"/>
        <w:jc w:val="both"/>
      </w:pPr>
      <w:r>
        <w:rPr>
          <w:rFonts w:ascii="Times New Roman" w:hAnsi="Times New Roman" w:eastAsia="Times New Roman"/>
          <w:b w:val="0"/>
          <w:i w:val="0"/>
          <w:color w:val="000000"/>
          <w:sz w:val="24"/>
          <w:color/>
        </w:rPr>
        <w:t>Grupės poslinkio / nutekėjimo bandymas (A6): atsitiktinis skaidymas į testą įleidžia 74 raudono ir 274 balto dublikatų grupes, SVR MAE krenta iki 0,429 ir 0,507 (palyginti su 0,473 ir 0,534 grupiniame skaidyme). Apie 0,04 MAE „pranašumo“ būtų nutekėjimas, ne modelio kokybė. Todėl grupinis skaidymas paliekamas privalomas. Triukšmo bandymas: prie testo požymių pridėtas N(0, 0,1·std) – raudono MAE auga 0,012 (0,473 → 0,486), balto 0,002; Acc_1,0 krenta 0,9 p. p. ir 1,6 p. p. Modelis triukšmui vidutiniškai atsparus, jautriau reaguoja mažesnė raudono imtis.</w:t>
      </w:r>
    </w:p>
    <w:p>
      <w:pPr>
        <w:keepNext/>
        <w:spacing w:before="200" w:after="120" w:line="276" w:lineRule="auto"/>
        <w:ind w:firstLine="0"/>
        <w:jc w:val="left"/>
      </w:pPr>
      <w:r>
        <w:rPr>
          <w:rFonts w:ascii="Times New Roman" w:hAnsi="Times New Roman" w:eastAsia="Times New Roman"/>
          <w:b/>
          <w:i w:val="0"/>
          <w:color w:val="000000"/>
          <w:sz w:val="24"/>
          <w:color/>
        </w:rPr>
        <w:t>8. Kodėl SVR paliktas pagrindiniu ir kokios ribos</w:t>
      </w:r>
    </w:p>
    <w:p>
      <w:pPr>
        <w:spacing w:after="120" w:before="0" w:line="276" w:lineRule="auto"/>
        <w:ind w:firstLine="425"/>
        <w:jc w:val="both"/>
      </w:pPr>
      <w:r>
        <w:rPr>
          <w:rFonts w:ascii="Times New Roman" w:hAnsi="Times New Roman" w:eastAsia="Times New Roman"/>
          <w:b w:val="0"/>
          <w:i w:val="0"/>
          <w:color w:val="000000"/>
          <w:sz w:val="24"/>
          <w:color/>
        </w:rPr>
        <w:t>SVR „laimi“ ne visais MAE stulpeliais: raudonam MLP 0,001 geresnis, baltam miškas 0,002 geresnis. Pagal iš anksto užfiksuotą H2 taisyklę šie skirtumai per maži keisti modeliui. SVR vis tiek pranoksta abu privalomus baseline, turi patikrinamą formulę kode, iškilų mokymą ir ε zoną, atitinkančią ±0,5 balo apvalinimą. RBF tinklas patvirtina, kad fiksuoti centrai silpnesni už atraminius vektorius. Ribos: triukšmingas taikinys be individualių degustatorių – nesumažinama paklaidos grindų nežinoma; kraštinės klasės n = keliolika, jų tikslumo interpretuoti negalima; duomenys – vienas regionas ir laikotarpis, kitam gamintojui reikės kalibracijos. Diegiant SVR naudojamas kaip antra nuomonė, ne kaip įstatyminis balas.</w:t>
      </w:r>
    </w:p>
    <w:p>
      <w:pPr>
        <w:keepNext/>
        <w:spacing w:before="200" w:after="120" w:line="276" w:lineRule="auto"/>
        <w:ind w:firstLine="0"/>
        <w:jc w:val="left"/>
      </w:pPr>
      <w:r>
        <w:rPr>
          <w:rFonts w:ascii="Times New Roman" w:hAnsi="Times New Roman" w:eastAsia="Times New Roman"/>
          <w:b/>
          <w:i w:val="0"/>
          <w:color w:val="000000"/>
          <w:sz w:val="24"/>
          <w:color/>
        </w:rPr>
        <w:t>9. Atkūrimas</w:t>
      </w:r>
    </w:p>
    <w:p>
      <w:pPr>
        <w:spacing w:after="80" w:before="0" w:line="276" w:lineRule="auto"/>
        <w:ind w:firstLine="425"/>
        <w:jc w:val="both"/>
      </w:pPr>
      <w:r>
        <w:rPr>
          <w:rFonts w:ascii="Times New Roman" w:hAnsi="Times New Roman" w:eastAsia="Times New Roman"/>
          <w:b w:val="0"/>
          <w:i w:val="0"/>
          <w:color w:val="000000"/>
          <w:sz w:val="24"/>
          <w:color/>
        </w:rPr>
        <w:t>Priklausomybės: Python 3.12, numpy, pandas, scikit-learn, scipy, matplotlib, joblib, pytest (requirements.txt). Duomenys nepridedami: pirma komanda pati atsisiunčia CSV ir tikrina SHA-256 (raudonas 4a402cf0…, baltas 76c3f809…). Sėklos: SPLIT_SEED = 0, DEFAULT_SEED = 0 faile winequality/config.py. Viena pagrindinio eksperimento komanda (projekto šaknyje, aktyviame .venv):</w:t>
      </w:r>
    </w:p>
    <w:p>
      <w:pPr>
        <w:spacing w:after="120" w:before="0" w:line="276" w:lineRule="auto"/>
        <w:ind w:firstLine="0"/>
        <w:jc w:val="left"/>
      </w:pPr>
      <w:r>
        <w:rPr>
          <w:rFonts w:ascii="Times New Roman" w:hAnsi="Times New Roman" w:eastAsia="Times New Roman"/>
          <w:b w:val="0"/>
          <w:i/>
          <w:color w:val="000000"/>
          <w:sz w:val="24"/>
          <w:color/>
        </w:rPr>
        <w:t>python -m winequality.run_experiment</w:t>
      </w:r>
    </w:p>
    <w:p>
      <w:pPr>
        <w:spacing w:after="120" w:before="0" w:line="276" w:lineRule="auto"/>
        <w:ind w:firstLine="425"/>
        <w:jc w:val="both"/>
      </w:pPr>
      <w:r>
        <w:rPr>
          <w:rFonts w:ascii="Times New Roman" w:hAnsi="Times New Roman" w:eastAsia="Times New Roman"/>
          <w:b w:val="0"/>
          <w:i w:val="0"/>
          <w:color w:val="000000"/>
          <w:sz w:val="24"/>
          <w:color/>
        </w:rPr>
        <w:t>Išvestis: results/metrics.json, results/comparison.csv, results/figures/, artifacts/*.joblib. Vienetų testai: python -m pytest tests -q (tarp jų formulės ir sklearn prognozių sutapimas). Pavienė prognozė: python -m winequality.predict --kind red --json sample.json. Užrašinės naršyklėje: python -m winequality.paleisti_uzrasines.</w:t>
      </w:r>
    </w:p>
    <w:p>
      <w:pPr>
        <w:keepNext/>
        <w:spacing w:before="200" w:after="120" w:line="276" w:lineRule="auto"/>
        <w:ind w:firstLine="0"/>
        <w:jc w:val="left"/>
      </w:pPr>
      <w:r>
        <w:rPr>
          <w:rFonts w:ascii="Times New Roman" w:hAnsi="Times New Roman" w:eastAsia="Times New Roman"/>
          <w:b/>
          <w:i w:val="0"/>
          <w:color w:val="000000"/>
          <w:sz w:val="24"/>
          <w:color/>
        </w:rPr>
        <w:t>10. Dirbtinio intelekto naudojimo žurnalas</w:t>
      </w:r>
    </w:p>
    <w:p>
      <w:pPr>
        <w:spacing w:after="80" w:before="0" w:line="276" w:lineRule="auto"/>
        <w:ind w:firstLine="425"/>
        <w:jc w:val="both"/>
      </w:pPr>
      <w:r>
        <w:rPr>
          <w:rFonts w:ascii="Times New Roman" w:hAnsi="Times New Roman" w:eastAsia="Times New Roman"/>
          <w:b w:val="0"/>
          <w:i w:val="0"/>
          <w:color w:val="000000"/>
          <w:sz w:val="24"/>
          <w:color/>
        </w:rPr>
        <w:t>Naudotas Cursor Grok 4.6 (2026-09-20). Svarbiausios užklausos: kolokviumo plano perdavimas ir spragų patikra; egzamino (ne tik plano) apimties patikslinimas; baseline, SVR su formulėmis ir antro metodo įgyvendinimas; vėliau – MLP ir RBF tinklo įtraukimas; Jupyter užrašinės; ši ataskaita.</w:t>
      </w:r>
    </w:p>
    <w:p>
      <w:pPr>
        <w:spacing w:after="80" w:before="0" w:line="276" w:lineRule="auto"/>
        <w:ind w:firstLine="425"/>
        <w:jc w:val="both"/>
      </w:pPr>
      <w:r>
        <w:rPr>
          <w:rFonts w:ascii="Times New Roman" w:hAnsi="Times New Roman" w:eastAsia="Times New Roman"/>
          <w:b w:val="0"/>
          <w:i w:val="0"/>
          <w:color w:val="000000"/>
          <w:sz w:val="24"/>
          <w:color/>
        </w:rPr>
        <w:t>Priimti pasiūlymai: egzamino dydžio protokolas (užšaldytas 80/20, vidinis GroupKFold, ne pilnas 10×3×60 CV); SVR kaip pagrindinis, palyginimui RF, MLP ir RBF tinklas; dualinė SVR formulė kaip atskira funkcija; abliacija A1, jautrumas ir atsparumas triukšmui bei grupiniam nutekėjimui. Atmesti: CORN, SMOTE, Wilcoxon/Holm ir serviso/stebėsenos sluoksnis; hiperparametrų paieška teste; kolokviumo orientacinio SVR MAE 0,455/0,516 naudojimas kaip egzamino rezultatas.</w:t>
      </w:r>
    </w:p>
    <w:p>
      <w:pPr>
        <w:spacing w:after="120" w:before="0" w:line="276" w:lineRule="auto"/>
        <w:ind w:firstLine="425"/>
        <w:jc w:val="both"/>
      </w:pPr>
      <w:r>
        <w:rPr>
          <w:rFonts w:ascii="Times New Roman" w:hAnsi="Times New Roman" w:eastAsia="Times New Roman"/>
          <w:b w:val="0"/>
          <w:i w:val="0"/>
          <w:color w:val="000000"/>
          <w:sz w:val="24"/>
          <w:color/>
        </w:rPr>
        <w:t>Aptiktos AI klaidos / nepatikrintos prielaidos. (1) Prielaida, kad sklearn SVR.dual_coef_ yra (α − α*) ir predict_from_dual gali pakeisti SVR.predict – tikrinta test_svr_formula_matches_sklearn ir eksperimento max-abs slenksčiu 10⁻⁶. (2) Prielaida, kad sklearn.utils.fixes.loguniform egzistuoja dabartinėje scikit-learn – nepasitikėta, kode scipy.stats.loguniform. (3) Pirmasis eksperimento paleidimas lūžo, nes Log1pStandardScaler keitė konstruktoriaus argumentą ir sklearn clone() to nepriėmė – pataisyta paliekant parametrus nepakeistus. (4) Kolokviumo skaičiai nenaudoti kaip galutiniai: ataskaitoje tik results/metrics.json po paleistos komandos.</w:t>
      </w:r>
    </w:p>
    <w:p>
      <w:pPr>
        <w:keepNext/>
        <w:spacing w:before="200" w:after="120" w:line="276" w:lineRule="auto"/>
        <w:ind w:firstLine="0"/>
        <w:jc w:val="left"/>
      </w:pPr>
      <w:r>
        <w:rPr>
          <w:rFonts w:ascii="Times New Roman" w:hAnsi="Times New Roman" w:eastAsia="Times New Roman"/>
          <w:b/>
          <w:i w:val="0"/>
          <w:color w:val="000000"/>
          <w:sz w:val="24"/>
          <w:color/>
        </w:rPr>
        <w:t>11. Išvados</w:t>
      </w:r>
    </w:p>
    <w:p>
      <w:pPr>
        <w:spacing w:after="120" w:before="0" w:line="276" w:lineRule="auto"/>
        <w:ind w:firstLine="425"/>
        <w:jc w:val="both"/>
      </w:pPr>
      <w:r>
        <w:rPr>
          <w:rFonts w:ascii="Times New Roman" w:hAnsi="Times New Roman" w:eastAsia="Times New Roman"/>
          <w:b w:val="0"/>
          <w:i w:val="0"/>
          <w:color w:val="000000"/>
          <w:sz w:val="24"/>
          <w:color/>
        </w:rPr>
        <w:t>Įgyvendinta atkuriama grandinė, du baseline ir keturi planiniai intelektualieji metodai, lyginami tuo pačiu grupiniu skaidymu. SVR dualinė formulė susieta su konkrečiomis kodo eilutėmis. H1 raudonam nepasitvirtino, baltam pasitvirtino; H2 galioja, todėl diegti paliekamas SVR. Didžiausia grėsmė išvadoms – dublikatų nutekėjimas ir subjektyvus taikinys; pirmoji suvaldyta grupėmis, antroji lieka duomenų savybė, todėl modelis tinka rūšiavimui ir pakartotinei degustacijai, ne ekspertų pakeitimui.</w:t>
      </w:r>
    </w:p>
    <w:p>
      <w:pPr>
        <w:spacing w:after="80" w:before="160" w:line="276" w:lineRule="auto"/>
        <w:ind w:firstLine="0"/>
        <w:jc w:val="left"/>
      </w:pPr>
      <w:r>
        <w:rPr>
          <w:rFonts w:ascii="Times New Roman" w:hAnsi="Times New Roman" w:eastAsia="Times New Roman"/>
          <w:b/>
          <w:i w:val="0"/>
          <w:color w:val="000000"/>
          <w:sz w:val="24"/>
          <w:color/>
        </w:rPr>
        <w:t>Literatūra (atrinkta)</w:t>
      </w:r>
    </w:p>
    <w:p>
      <w:pPr>
        <w:spacing w:after="60" w:before="0" w:line="276" w:lineRule="auto"/>
        <w:ind w:firstLine="0"/>
        <w:jc w:val="left"/>
      </w:pPr>
      <w:r>
        <w:rPr>
          <w:rFonts w:ascii="Times New Roman" w:hAnsi="Times New Roman" w:eastAsia="Times New Roman"/>
          <w:b w:val="0"/>
          <w:i w:val="0"/>
          <w:color w:val="000000"/>
          <w:sz w:val="22"/>
          <w:color/>
        </w:rPr>
        <w:t>1. Cortez, P., Cerdeira, A., Almeida, F., Matos, T., Reis, J. (2009). Modeling wine preferences by data mining from physicochemical properties. Decision Support Systems, 47(4), 547–553. https://doi.org/10.1016/j.dss.2009.05.016</w:t>
      </w:r>
    </w:p>
    <w:p>
      <w:pPr>
        <w:spacing w:after="60" w:before="0" w:line="276" w:lineRule="auto"/>
        <w:ind w:firstLine="0"/>
        <w:jc w:val="left"/>
      </w:pPr>
      <w:r>
        <w:rPr>
          <w:rFonts w:ascii="Times New Roman" w:hAnsi="Times New Roman" w:eastAsia="Times New Roman"/>
          <w:b w:val="0"/>
          <w:i w:val="0"/>
          <w:color w:val="000000"/>
          <w:sz w:val="22"/>
          <w:color/>
        </w:rPr>
        <w:t>2. Kapoor, S., Narayanan, A. (2023). Leakage and the reproducibility crisis in machine-learning-based science. Patterns, 4(9), 100804. https://doi.org/10.1016/j.patter.2023.100804</w:t>
      </w:r>
    </w:p>
    <w:p>
      <w:pPr>
        <w:spacing w:after="60" w:before="0" w:line="276" w:lineRule="auto"/>
        <w:ind w:firstLine="0"/>
        <w:jc w:val="left"/>
      </w:pPr>
      <w:r>
        <w:rPr>
          <w:rFonts w:ascii="Times New Roman" w:hAnsi="Times New Roman" w:eastAsia="Times New Roman"/>
          <w:b w:val="0"/>
          <w:i w:val="0"/>
          <w:color w:val="000000"/>
          <w:sz w:val="22"/>
          <w:color/>
        </w:rPr>
        <w:t>3. Karal, Ö. (2023). Robust and optimal epsilon-insensitive kernel-based regression for general noise models. Engineering Applications of Artificial Intelligence, 120, 105841. https://doi.org/10.1016/j.engappai.2023.105841</w:t>
      </w:r>
    </w:p>
    <w:p>
      <w:pPr>
        <w:spacing w:after="60" w:before="0" w:line="276" w:lineRule="auto"/>
        <w:ind w:firstLine="0"/>
        <w:jc w:val="left"/>
      </w:pPr>
      <w:r>
        <w:rPr>
          <w:rFonts w:ascii="Times New Roman" w:hAnsi="Times New Roman" w:eastAsia="Times New Roman"/>
          <w:b w:val="0"/>
          <w:i w:val="0"/>
          <w:color w:val="000000"/>
          <w:sz w:val="22"/>
          <w:color/>
        </w:rPr>
        <w:t>4. Wu, J., Wang, Y.-G. (2022). A working likelihood approach to support vector regression with a data-driven insensitivity parameter. International Journal of Machine Learning and Cybernetics, 14(3), 929–945. https://doi.org/10.1007/s13042-022-01672-x</w:t>
      </w:r>
    </w:p>
    <w:p>
      <w:pPr>
        <w:spacing w:after="60" w:before="0" w:line="276" w:lineRule="auto"/>
        <w:ind w:firstLine="0"/>
        <w:jc w:val="left"/>
      </w:pPr>
      <w:r>
        <w:rPr>
          <w:rFonts w:ascii="Times New Roman" w:hAnsi="Times New Roman" w:eastAsia="Times New Roman"/>
          <w:b w:val="0"/>
          <w:i w:val="0"/>
          <w:color w:val="000000"/>
          <w:sz w:val="22"/>
          <w:color/>
        </w:rPr>
        <w:t>5. Grinsztajn, L., Oyallon, E., Varoquaux, G. (2022). Why do tree-based models still outperform deep learning on typical tabular data? NeurIPS 2022.</w:t>
      </w:r>
    </w:p>
    <w:p>
      <w:pPr>
        <w:spacing w:after="60" w:before="0" w:line="276" w:lineRule="auto"/>
        <w:ind w:firstLine="0"/>
        <w:jc w:val="left"/>
      </w:pPr>
      <w:r>
        <w:rPr>
          <w:rFonts w:ascii="Times New Roman" w:hAnsi="Times New Roman" w:eastAsia="Times New Roman"/>
          <w:b w:val="0"/>
          <w:i w:val="0"/>
          <w:color w:val="000000"/>
          <w:sz w:val="22"/>
          <w:color/>
        </w:rPr>
        <w:t>6. Bodington, J. (2022). Stochastic error and biases remain in blind wine ratings. Journal of Wine Economics, 17(4), 345–351. https://doi.org/10.1017/jwe.2022.53</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