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pBdr>
                <w:top w:val="single" w:color="0097A7" w:sz="18" w:space="20"/>
              </w:pBdr>
              <w:spacing w:after="200" w:before="1200"/>
              <w:ind w:left="1000" w:right="1000"/>
            </w:pPr>
          </w:p>
          <w:p>
            <w:pPr>
              <w:spacing w:before="1600"/>
            </w:pPr>
          </w:p>
          <w:p>
            <w:pPr>
              <w:spacing w:after="500"/>
              <w:jc w:val="center"/>
            </w:pPr>
            <w:r>
              <w:rPr>
                <w:rFonts w:ascii="Calibri"/>
                <w:color w:val="0097A7"/>
                <w:spacing w:val="40"/>
                <w:sz w:val="18"/>
                <w:szCs w:val="18"/>
              </w:rPr>
              <w:t xml:space="preserve">Z  E  H  L  A     S  M  A  R  T  H  O  T  E  L</w:t>
            </w:r>
          </w:p>
          <w:p>
            <w:pPr>
              <w:spacing w:after="80" w:line="828" w:lineRule="atLeast"/>
              <w:jc w:val="center"/>
            </w:pPr>
            <w:r>
              <w:rPr>
                <w:rFonts w:ascii="Calibri"/>
                <w:b/>
                <w:bCs/>
                <w:color w:val="FFFFFF"/>
                <w:sz w:val="36"/>
                <w:szCs w:val="36"/>
              </w:rPr>
              <w:t xml:space="preserve">Análise Cruzada: Cérebro Comercial</w:t>
            </w:r>
          </w:p>
          <w:p>
            <w:pPr>
              <w:spacing w:after="300" w:line="828" w:lineRule="atLeast"/>
              <w:jc w:val="center"/>
            </w:pPr>
            <w:r>
              <w:rPr>
                <w:rFonts w:ascii="Calibri"/>
                <w:b/>
                <w:bCs/>
                <w:color w:val="FFFFFF"/>
                <w:sz w:val="36"/>
                <w:szCs w:val="36"/>
              </w:rPr>
              <w:t xml:space="preserve">B2B2C vs. Arquitetura ZAOS</w:t>
            </w:r>
          </w:p>
          <w:p>
            <w:pPr>
              <w:spacing w:after="400"/>
              <w:jc w:val="center"/>
            </w:pPr>
            <w:r>
              <w:rPr>
                <w:rFonts w:ascii="Calibri"/>
                <w:color w:val="B0B8C0"/>
                <w:sz w:val="24"/>
                <w:szCs w:val="24"/>
              </w:rPr>
              <w:t xml:space="preserve">ZEHLA SMARTHOTEL — Dossiê de Inteligência Estratégica</w:t>
            </w:r>
          </w:p>
          <w:p>
            <w:pPr>
              <w:spacing w:before="1200"/>
            </w:pPr>
          </w:p>
          <w:p>
            <w:pPr>
              <w:spacing w:after="100" w:line="414" w:lineRule="atLeast"/>
              <w:jc w:val="center"/>
            </w:pPr>
            <w:r>
              <w:rPr>
                <w:rFonts w:ascii="Calibri"/>
                <w:color w:val="90989F"/>
                <w:sz w:val="36"/>
                <w:szCs w:val="36"/>
              </w:rPr>
              <w:t xml:space="preserve">Confidencial — Equipe de Engenharia e Estratégia ZEHLA</w:t>
            </w:r>
          </w:p>
          <w:p>
            <w:pPr>
              <w:spacing w:after="100" w:line="414" w:lineRule="atLeast"/>
              <w:jc w:val="center"/>
            </w:pPr>
            <w:r>
              <w:rPr>
                <w:rFonts w:ascii="Calibri"/>
                <w:color w:val="90989F"/>
                <w:sz w:val="36"/>
                <w:szCs w:val="36"/>
              </w:rPr>
              <w:t xml:space="preserve">Junho 2026</w:t>
            </w:r>
          </w:p>
          <w:p>
            <w:pPr>
              <w:spacing w:after="100" w:line="414" w:lineRule="atLeast"/>
              <w:jc w:val="center"/>
            </w:pPr>
            <w:r>
              <w:rPr>
                <w:rFonts w:ascii="Calibri"/>
                <w:color w:val="90989F"/>
                <w:sz w:val="36"/>
                <w:szCs w:val="36"/>
              </w:rPr>
              <w:t xml:space="preserve">Versão 1.0 — Análise de Convergência Arquitetural</w:t>
            </w:r>
          </w:p>
          <w:p>
            <w:pPr>
              <w:spacing w:before="2000"/>
            </w:pPr>
          </w:p>
          <w:p>
            <w:pPr>
              <w:pBdr>
                <w:bottom w:val="single" w:color="0097A7" w:sz="18" w:space="20"/>
              </w:pBdr>
              <w:spacing w:before="200"/>
              <w:ind w:left="1000" w:right="1000"/>
              <w:jc w:val="center"/>
            </w:pPr>
            <w:r>
              <w:rPr>
                <w:rFonts w:ascii="Calibri"/>
                <w:color w:val="687078"/>
                <w:sz w:val="18"/>
                <w:szCs w:val="18"/>
              </w:rPr>
              <w:t xml:space="preserve">Documento Confidencial — Distribuição Restrita</w:t>
            </w:r>
          </w:p>
        </w:tc>
      </w:tr>
    </w:tbl>
    <w:p>
      <w:pPr>
        <w:sectPr>
          <w:pgSz w:w="11906" w:h="16838" w:orient="portrait"/>
          <w:pgMar w:top="0" w:right="0" w:bottom="0" w:left="0" w:header="708" w:footer="708" w:gutter="0"/>
          <w:pgNumType/>
          <w:docGrid w:linePitch="360"/>
        </w:sectPr>
      </w:pPr>
    </w:p>
    <w:p>
      <w:pPr>
        <w:pStyle w:val="Heading1"/>
        <w:spacing w:after="300" w:before="200" w:line="312"/>
      </w:pPr>
      <w:bookmarkStart w:id="100000" w:name="_Toc100000"/>
      <w:r>
        <w:rPr>
          <w:rFonts w:ascii="Calibri"/>
          <w:b/>
          <w:bCs/>
          <w:color w:val="101820"/>
          <w:sz w:val="32"/>
          <w:szCs w:val="32"/>
        </w:rPr>
        <w:t xml:space="preserve">Sumário</w:t>
      </w:r>
      <w:bookmarkEnd w:id="100000"/>
    </w:p>
    <w:sdt>
      <w:sdtPr>
        <w:alias w:val="Sumári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Sumário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Resumo Executivo</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Mapeamento de Convergência</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Análise de Gaps Críticos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3.1 CRM Bounded Context</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3.2 Revenue Pricing Agent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3.3 Motor de Follow-up / Farmer IA</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3.4 Escalation Sentiment→Closer</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3.5 Módulo LGPD Compliance</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Teses de Integração Prioritárias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Tese 1: CRM Context (Bounded Context Novo)</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Tese 2: Revenue Agent como Novo Bucket CADMAS-CTX</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Tese 3: Motor de Follow-up</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Tese 4: Escalation Sentiment→Closer</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Tese 5: Slot Filling no SDR IA</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Tese 6: ROAS Reverse no Budget Guard</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Tese 7: Farmer IA (Reativação)</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Tese 8: Módulo LGPD Privacy</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5. Matriz de Integração por Anéis ZEHLA PRIME</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6. Roadmap de Implementação</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SB25 Lote 1 — Ativo: Value Objects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SB25 Lote 2 — Próximo: DSPy Signatures</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SB25 Lote 3: Expandir ContextDiscretizer</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SB25 Lote 4: CRM Repository + LGPD</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SB25 Lote 5: Farmer IA + Escalation</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SB25 Lote 6: ROAS Reverse + Observabilidade</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7. Conclusão Estratégica</w:t>
            </w:r>
            <w:r>
              <w:tab/>
            </w:r>
            <w:r>
              <w:fldChar w:fldCharType="begin"/>
            </w:r>
            <w:r>
              <w:instrText xml:space="preserve"> PAGEREF _Toc100026 \h </w:instrText>
            </w:r>
            <w:r>
              <w:fldChar w:fldCharType="separate"/>
            </w:r>
            <w:r>
              <w:t>9</w:t>
            </w:r>
            <w:r>
              <w:fldChar w:fldCharType="end"/>
            </w:r>
          </w:hyperlink>
        </w:p>
        <w:p>
          <w:r>
            <w:fldChar w:fldCharType="end"/>
          </w:r>
        </w:p>
      </w:sdtContent>
    </w:sdt>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1" w:name="_Toc100001"/>
      <w:r>
        <w:rPr>
          <w:rFonts w:ascii="Calibri" w:eastAsia="Calibri"/>
          <w:b/>
          <w:bCs/>
          <w:color w:val="101820"/>
          <w:sz w:val="32"/>
          <w:szCs w:val="32"/>
        </w:rPr>
        <w:t xml:space="preserve">1. Resumo Executivo</w:t>
      </w:r>
      <w:bookmarkEnd w:id="100001"/>
    </w:p>
    <w:p>
      <w:pPr>
        <w:spacing w:after="120" w:line="312"/>
        <w:ind w:firstLine="480"/>
        <w:jc w:val="both"/>
      </w:pPr>
      <w:r>
        <w:rPr>
          <w:rFonts w:ascii="Calibri" w:eastAsia="Calibri"/>
          <w:color w:val="182030"/>
          <w:sz w:val="22"/>
          <w:szCs w:val="22"/>
        </w:rPr>
        <w:t xml:space="preserve">O presente dossiê executa uma análise cruzada cirúrgica entre o Dossiê Mestre de Implantação Corporativa — composto por cinco volumes que cobrem desde a definição de personas e canais até estratégias de precificação dinâmica e compliance regulatório — e a arquitetura cognitiva ZAOS atualmente implementada no cérebro ZEHLA SmartHotel. A arquitetura ZAOS é estruturada em cinco pilares fundamentais (Router, Memory, Cognition, Orchestration, Action), sete anéis concêntricos de processamento (Awareness, Ingestion, Enrichment, Memory, Cognition, Orchestration, Action) e utiliza a metodologia SB25 Small Batch para entregas incrementais e validáveis.</w:t>
      </w:r>
    </w:p>
    <w:p>
      <w:pPr>
        <w:spacing w:after="120" w:line="312"/>
        <w:ind w:firstLine="480"/>
        <w:jc w:val="both"/>
      </w:pPr>
      <w:r>
        <w:rPr>
          <w:rFonts w:ascii="Calibri" w:eastAsia="Calibri"/>
          <w:color w:val="182030"/>
          <w:sz w:val="22"/>
          <w:szCs w:val="22"/>
        </w:rPr>
        <w:t xml:space="preserve">O objetivo central desta análise é identificar, com precisão granular, os pontos de convergência onde os conceitos comerciais descritos no Dossiê já possuem equivalentes implementados na arquitetura ZAOS, os gaps críticos onde funcionalidades comerciais necessárias não possuem contraparte técnica, e as sinergias estratégicas onde a combinação dos dois mundos pode gerar valor exponencial. Trata-se de um exercício de engenharia reversa comercial: mapear o que o negócio pede e verificar o que o cérebro já entrega.</w:t>
      </w:r>
    </w:p>
    <w:p>
      <w:pPr>
        <w:spacing w:after="120" w:line="312"/>
        <w:ind w:firstLine="480"/>
        <w:jc w:val="both"/>
      </w:pPr>
      <w:r>
        <w:rPr>
          <w:rFonts w:ascii="Calibri" w:eastAsia="Calibri"/>
          <w:color w:val="182030"/>
          <w:sz w:val="22"/>
          <w:szCs w:val="22"/>
        </w:rPr>
        <w:t xml:space="preserve">Os resultados preliminares indicam que a arquitetura ZAOS cobre aproximadamente 60% do que o Dossiê prescreve em termos de capacidades cognitivas e de processamento. O Thompson Sampling para otimização de custo por canal, o QualityProxy de auditoria zero-LLM, o Budget Guard com circuit breaker, e o GraphRAG com Personalized PageRank já estão implementados e convergem diretamente com as necessidades comerciais identificadas. O A-MEM e o Zettelkasten para personalização de longo prazo também encontram paralelo completo no Dossiê.</w:t>
      </w:r>
    </w:p>
    <w:p>
      <w:pPr>
        <w:spacing w:after="120" w:line="312"/>
        <w:ind w:firstLine="480"/>
        <w:jc w:val="both"/>
      </w:pPr>
      <w:r>
        <w:rPr>
          <w:rFonts w:ascii="Calibri" w:eastAsia="Calibri"/>
          <w:color w:val="182030"/>
          <w:sz w:val="22"/>
          <w:szCs w:val="22"/>
        </w:rPr>
        <w:t xml:space="preserve">Entretanto, o gap mais significativo não reside na inteligência cognitiva, mas na orquestração comercial. O cérebro sabe pensar, conversar e classificar, mas carece de uma espinha dorsal de CRM para rastrear o ciclo de vida completo dos leads — desde a primeira interação até a conversão em reserva e o pós-estadia. Este documento propõe oito teses de integração priorizadas, um roadmap alinhado aos lotes SB25 existentes, e uma matriz de impacto por anel ZEHLA PRIME para guiar a engenharia de forma pragmática e iterável.</w:t>
      </w:r>
    </w:p>
    <w:p>
      <w:pPr>
        <w:pStyle w:val="Heading1"/>
        <w:spacing w:after="200" w:before="400" w:line="312"/>
      </w:pPr>
      <w:bookmarkStart w:id="100002" w:name="_Toc100002"/>
      <w:r>
        <w:rPr>
          <w:rFonts w:ascii="Calibri" w:eastAsia="Calibri"/>
          <w:b/>
          <w:bCs/>
          <w:color w:val="101820"/>
          <w:sz w:val="32"/>
          <w:szCs w:val="32"/>
        </w:rPr>
        <w:t xml:space="preserve">2. Mapeamento de Convergência</w:t>
      </w:r>
      <w:bookmarkEnd w:id="100002"/>
    </w:p>
    <w:p>
      <w:pPr>
        <w:spacing w:after="120" w:line="312"/>
        <w:ind w:firstLine="480"/>
        <w:jc w:val="both"/>
      </w:pPr>
      <w:r>
        <w:rPr>
          <w:rFonts w:ascii="Calibri" w:eastAsia="Calibri"/>
          <w:color w:val="182030"/>
          <w:sz w:val="22"/>
          <w:szCs w:val="22"/>
        </w:rPr>
        <w:t xml:space="preserve">A tabela a seguir apresenta o mapeamento exaustivo entre os conceitos comerciais e operacionais descritos nos cinco volumes do Dossiê Mestre e os componentes atualmente existentes na arquitetura ZAOS. Para cada conceito, identificamos o componente ZAOS correspondente (ou a ausência dele), o status de convergência (CONVERGENTE, PARCIAL ou INEXISTENTE), e a ação necessária para fechar o gap.</w:t>
      </w:r>
    </w:p>
    <w:p>
      <w:pPr>
        <w:spacing w:after="120" w:line="312"/>
        <w:ind w:firstLine="480"/>
        <w:jc w:val="both"/>
      </w:pPr>
      <w:r>
        <w:rPr>
          <w:rFonts w:ascii="Calibri" w:eastAsia="Calibri"/>
          <w:color w:val="182030"/>
          <w:sz w:val="22"/>
          <w:szCs w:val="22"/>
        </w:rPr>
        <w:t xml:space="preserve">Dos doze conceitos mapeados, cinco apresentam convergência total — indicando que a arquitetura cognitiva já atende plenamente à necessidade comercial descrita. Três conceitos estão em estado parcial, exigindo extensões ou ajustes em componentes existentes. Quatro conceitos são completamente inexistentes no ZAOS, representando gaps críticos que demandam criação de novos bounded contexts, buckets de classificação ou DSPy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6.08695652173913%"/>
            <w:tcBorders>
              <w:top w:val="none" w:color="FFFFFF" w:sz="0"/>
              <w:left w:val="none" w:color="FFFFFF" w:sz="0"/>
              <w:bottom w:val="none" w:color="FFFFFF" w:sz="0"/>
              <w:right w:val="none" w:color="FFFFFF" w:sz="0"/>
            </w:tcBorders>
            <w:shd w:fill="0097A7" w:val="clear"/>
          </w:tcPr>
          <w:p>
            <w:pPr>
              <w:spacing w:after="60" w:before="60" w:line="280"/>
            </w:pPr>
            <w:r>
              <w:rPr>
                <w:rFonts w:ascii="Calibri"/>
                <w:b/>
                <w:bCs/>
                <w:color w:val="FFFFFF"/>
                <w:sz w:val="20"/>
                <w:szCs w:val="20"/>
              </w:rPr>
              <w:t xml:space="preserve">Conceito Dossiê (Fonte)</w:t>
            </w:r>
          </w:p>
        </w:tc>
        <w:tc>
          <w:tcPr>
            <w:tcW w:type="pct" w:w="26.08695652173913%"/>
            <w:tcBorders>
              <w:top w:val="none" w:color="FFFFFF" w:sz="0"/>
              <w:left w:val="none" w:color="FFFFFF" w:sz="0"/>
              <w:bottom w:val="none" w:color="FFFFFF" w:sz="0"/>
              <w:right w:val="none" w:color="FFFFFF" w:sz="0"/>
            </w:tcBorders>
            <w:shd w:fill="0097A7" w:val="clear"/>
          </w:tcPr>
          <w:p>
            <w:pPr>
              <w:spacing w:after="60" w:before="60" w:line="280"/>
            </w:pPr>
            <w:r>
              <w:rPr>
                <w:rFonts w:ascii="Calibri"/>
                <w:b/>
                <w:bCs/>
                <w:color w:val="FFFFFF"/>
                <w:sz w:val="20"/>
                <w:szCs w:val="20"/>
              </w:rPr>
              <w:t xml:space="preserve">Componente ZAOS Existente</w:t>
            </w:r>
          </w:p>
        </w:tc>
        <w:tc>
          <w:tcPr>
            <w:tcW w:type="pct" w:w="21.73913043478261%"/>
            <w:tcBorders>
              <w:top w:val="none" w:color="FFFFFF" w:sz="0"/>
              <w:left w:val="none" w:color="FFFFFF" w:sz="0"/>
              <w:bottom w:val="none" w:color="FFFFFF" w:sz="0"/>
              <w:right w:val="none" w:color="FFFFFF" w:sz="0"/>
            </w:tcBorders>
            <w:shd w:fill="0097A7" w:val="clear"/>
          </w:tcPr>
          <w:p>
            <w:pPr>
              <w:spacing w:after="60" w:before="60" w:line="280"/>
            </w:pPr>
            <w:r>
              <w:rPr>
                <w:rFonts w:ascii="Calibri"/>
                <w:b/>
                <w:bCs/>
                <w:color w:val="FFFFFF"/>
                <w:sz w:val="20"/>
                <w:szCs w:val="20"/>
              </w:rPr>
              <w:t xml:space="preserve">Status de Convergência</w:t>
            </w:r>
          </w:p>
        </w:tc>
        <w:tc>
          <w:tcPr>
            <w:tcW w:type="pct" w:w="26.08695652173913%"/>
            <w:tcBorders>
              <w:top w:val="none" w:color="FFFFFF" w:sz="0"/>
              <w:left w:val="none" w:color="FFFFFF" w:sz="0"/>
              <w:bottom w:val="none" w:color="FFFFFF" w:sz="0"/>
              <w:right w:val="none" w:color="FFFFFF" w:sz="0"/>
            </w:tcBorders>
            <w:shd w:fill="0097A7" w:val="clear"/>
          </w:tcPr>
          <w:p>
            <w:pPr>
              <w:spacing w:after="60" w:before="60" w:line="280"/>
            </w:pPr>
            <w:r>
              <w:rPr>
                <w:rFonts w:ascii="Calibri"/>
                <w:b/>
                <w:bCs/>
                <w:color w:val="FFFFFF"/>
                <w:sz w:val="20"/>
                <w:szCs w:val="20"/>
              </w:rPr>
              <w:t xml:space="preserve">Gap / Ação</w:t>
            </w:r>
          </w:p>
        </w:tc>
      </w:tr>
      <w:tr>
        <w:trPr>
          <w:cantSplit/>
        </w:trPr>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Agente SDR IA (V2.4/V3.3)</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HERMES Agent + CADMAS-CTX Router (32 buckets)</w:t>
            </w:r>
          </w:p>
        </w:tc>
        <w:tc>
          <w:tcPr>
            <w:tcW w:type="pct" w:w="21.73913043478261%"/>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PARCIAL — Router classifica mas não tem Slot Filling de leads</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Criar DSPy Signature SlotFillLead no bucket booking_new_request</w:t>
            </w:r>
          </w:p>
        </w:tc>
      </w:tr>
      <w:tr>
        <w:trPr>
          <w:cantSplit/>
        </w:trPr>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Triagem Cognitiva &lt; 1min SLA (V1.3)</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Tier 1 Rules Engine + Tier 2 Mini Models</w:t>
            </w:r>
          </w:p>
        </w:tc>
        <w:tc>
          <w:tcPr>
            <w:tcW w:type="pct" w:w="21.73913043478261%"/>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OK — Router já garante &lt;5ms classificação + routing</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Validar E2E latency com Meta Cloud API buffer</w:t>
            </w:r>
          </w:p>
        </w:tc>
      </w:tr>
      <w:tr>
        <w:trPr>
          <w:cantSplit/>
        </w:trPr>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Thompson Sampling para custo (V3.5)</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ZaosNeuroRouter com Beta-Binomial</w:t>
            </w:r>
          </w:p>
        </w:tc>
        <w:tc>
          <w:tcPr>
            <w:tcW w:type="pct" w:w="21.73913043478261%"/>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CONVERGENTE — Dossiê cita exatamente o que já está implementado</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Documentar convergência, nenhuma ação</w:t>
            </w:r>
          </w:p>
        </w:tc>
      </w:tr>
      <w:tr>
        <w:trPr>
          <w:cantSplit/>
        </w:trPr>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Agente Revenue (V3.3)</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Não existe — gap completo</w:t>
            </w:r>
          </w:p>
        </w:tc>
        <w:tc>
          <w:tcPr>
            <w:tcW w:type="pct" w:w="21.73913043478261%"/>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INEXISTENTE</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Criar novo bucket revenue_pricing (ID 32+) + DSPy Signature</w:t>
            </w:r>
          </w:p>
        </w:tc>
      </w:tr>
      <w:tr>
        <w:trPr>
          <w:cantSplit/>
        </w:trPr>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CRM Kanban (V2.6)</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Não existe no ZAOS</w:t>
            </w:r>
          </w:p>
        </w:tc>
        <w:tc>
          <w:tcPr>
            <w:tcW w:type="pct" w:w="21.73913043478261%"/>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INEXISTENTE</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Criar bounded context crm/ com ENT_LEAD, ENT_RESERVATION, ENT_INTERACTION</w:t>
            </w:r>
          </w:p>
        </w:tc>
      </w:tr>
      <w:tr>
        <w:trPr>
          <w:cantSplit/>
        </w:trPr>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A-MEM para personalização (V3.4/V5.2)</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A-MEM + Zettelkasten (EVOLUÇÃO 05)</w:t>
            </w:r>
          </w:p>
        </w:tc>
        <w:tc>
          <w:tcPr>
            <w:tcW w:type="pct" w:w="21.73913043478261%"/>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CONVERGENTE — Dossiê descreve o que já está projetado</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Apenas alinhar terminologia</w:t>
            </w:r>
          </w:p>
        </w:tc>
      </w:tr>
      <w:tr>
        <w:trPr>
          <w:cantSplit/>
        </w:trPr>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GraphRAG upsell (V3.4, V5.3)</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GraphRAG + PPR + BFS (EVOLUÇÃO 04)</w:t>
            </w:r>
          </w:p>
        </w:tc>
        <w:tc>
          <w:tcPr>
            <w:tcW w:type="pct" w:w="21.73913043478261%"/>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CONVERGENTE — Exemplo: Hóspede:Família→Quarto Lareira→Upsell Vinhos</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Integrar com Revenue Agent</w:t>
            </w:r>
          </w:p>
        </w:tc>
      </w:tr>
      <w:tr>
        <w:trPr>
          <w:cantSplit/>
        </w:trPr>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QualityProxy / Agente Auditor (V3.3, V4.3)</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QualityProxy (6 heurísticas zero-LLM)</w:t>
            </w:r>
          </w:p>
        </w:tc>
        <w:tc>
          <w:tcPr>
            <w:tcW w:type="pct" w:w="21.73913043478261%"/>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PARCIAL — Auditoria existe mas não é agente autônomo D+1</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Criar DSPy Signature AuditTranscript</w:t>
            </w:r>
          </w:p>
        </w:tc>
      </w:tr>
      <w:tr>
        <w:trPr>
          <w:cantSplit/>
        </w:trPr>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Budget Guard 80%/95% (V3.5)</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BudgetGuard + BudgetCircuitBreaker</w:t>
            </w:r>
          </w:p>
        </w:tc>
        <w:tc>
          <w:tcPr>
            <w:tcW w:type="pct" w:w="21.73913043478261%"/>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CONVERGENTE — Dossiê ROAS reverso = custo tokens vs venda</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Alinhar métricas ROAS ao Budget Guard</w:t>
            </w:r>
          </w:p>
        </w:tc>
      </w:tr>
      <w:tr>
        <w:trPr>
          <w:cantSplit/>
        </w:trPr>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Fallback Humano (V3.5)</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FallbackChainExecutor (Lote 4)</w:t>
            </w:r>
          </w:p>
        </w:tc>
        <w:tc>
          <w:tcPr>
            <w:tcW w:type="pct" w:w="21.73913043478261%"/>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PARCIAL — Existe mas Dossiê adiciona sentimento=Frustrado→Closer</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Adicionar regra no ContextDiscretizer</w:t>
            </w:r>
          </w:p>
        </w:tc>
      </w:tr>
      <w:tr>
        <w:trPr>
          <w:cantSplit/>
        </w:trPr>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Motor Follow-up (V2.7)</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Não existe</w:t>
            </w:r>
          </w:p>
        </w:tc>
        <w:tc>
          <w:tcPr>
            <w:tcW w:type="pct" w:w="21.73913043478261%"/>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INEXISTENTE</w:t>
            </w:r>
          </w:p>
        </w:tc>
        <w:tc>
          <w:tcPr>
            <w:tcW w:type="pct" w:w="26.08695652173913%"/>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Criar cadência engine (2h/24h/48h) + DSPy Signature FollowUpMessage</w:t>
            </w:r>
          </w:p>
        </w:tc>
      </w:tr>
      <w:tr>
        <w:trPr>
          <w:cantSplit/>
        </w:trPr>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LGPD / Right to be Forgotten (V4.2)</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Não endereçado nos pilares</w:t>
            </w:r>
          </w:p>
        </w:tc>
        <w:tc>
          <w:tcPr>
            <w:tcW w:type="pct" w:w="21.73913043478261%"/>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INEXISTENTE</w:t>
            </w:r>
          </w:p>
        </w:tc>
        <w:tc>
          <w:tcPr>
            <w:tcW w:type="pct" w:w="26.08695652173913%"/>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Criar módulo privacy/ com webhook expurgação</w:t>
            </w:r>
          </w:p>
        </w:tc>
      </w:tr>
    </w:tbl>
    <w:p>
      <w:pPr>
        <w:spacing w:after="80"/>
      </w:pPr>
      <w:r>
        <w:rPr>
          <w:rFonts w:ascii="Calibri"/>
          <w:i/>
          <w:iCs/>
          <w:color w:val="506070"/>
          <w:sz w:val="20"/>
          <w:szCs w:val="20"/>
        </w:rPr>
        <w:t xml:space="preserve">Tabela 1 — Mapeamento completo de convergência Dossiê × ZAOS</w:t>
      </w:r>
    </w:p>
    <w:p>
      <w:pPr>
        <w:spacing w:after="120" w:line="312"/>
        <w:ind w:firstLine="480"/>
        <w:jc w:val="both"/>
      </w:pPr>
      <w:r>
        <w:rPr>
          <w:rFonts w:ascii="Calibri" w:eastAsia="Calibri"/>
          <w:color w:val="182030"/>
          <w:sz w:val="22"/>
          <w:szCs w:val="22"/>
        </w:rPr>
        <w:t xml:space="preserve">A análise quantitativa revela um índice de cobertura de 41,7% (5 de 12 conceitos com convergência total), 25% parciais (3 de 12) e 33,3% inexistentes (4 de 12). Quando consideradas as convergências parciais como potencialmente endereçáveis com esforço moderado, a cobertura efetiva sobe para 66,7%. Os quatro gaps inexistentes — CRM Kanban, Agente Revenue, Motor de Follow-up e Módulo LGPD — formam o núcleo duro da lacuna comercial e serão analisados em profundidade na seção seguinte.</w:t>
      </w:r>
    </w:p>
    <w:p>
      <w:pPr>
        <w:pStyle w:val="Heading1"/>
        <w:spacing w:after="200" w:before="400" w:line="312"/>
      </w:pPr>
      <w:bookmarkStart w:id="100003" w:name="_Toc100003"/>
      <w:r>
        <w:rPr>
          <w:rFonts w:ascii="Calibri" w:eastAsia="Calibri"/>
          <w:b/>
          <w:bCs/>
          <w:color w:val="101820"/>
          <w:sz w:val="32"/>
          <w:szCs w:val="32"/>
        </w:rPr>
        <w:t xml:space="preserve">3. Análise de Gaps Críticos</w:t>
      </w:r>
      <w:bookmarkEnd w:id="100003"/>
    </w:p>
    <w:p>
      <w:pPr>
        <w:spacing w:after="120" w:line="312"/>
        <w:ind w:firstLine="480"/>
        <w:jc w:val="both"/>
      </w:pPr>
      <w:r>
        <w:rPr>
          <w:rFonts w:ascii="Calibri" w:eastAsia="Calibri"/>
          <w:color w:val="182030"/>
          <w:sz w:val="22"/>
          <w:szCs w:val="22"/>
        </w:rPr>
        <w:t xml:space="preserve">Esta seção aprofunda os cinco gaps mais críticos identificados no mapeamento de convergência, cada um com análise de impacto comercial, viabilidade técnica e recomendação de abordagem.</w:t>
      </w:r>
    </w:p>
    <w:p>
      <w:pPr>
        <w:pStyle w:val="Heading2"/>
        <w:spacing w:after="160" w:before="300" w:line="312"/>
      </w:pPr>
      <w:bookmarkStart w:id="100004" w:name="_Toc100004"/>
      <w:r>
        <w:rPr>
          <w:rFonts w:ascii="Calibri" w:eastAsia="Calibri"/>
          <w:b/>
          <w:bCs/>
          <w:color w:val="101820"/>
          <w:sz w:val="28"/>
          <w:szCs w:val="28"/>
        </w:rPr>
        <w:t xml:space="preserve">3.1 CRM Bounded Context</w:t>
      </w:r>
      <w:bookmarkEnd w:id="100004"/>
    </w:p>
    <w:p>
      <w:pPr>
        <w:spacing w:after="120" w:line="312"/>
        <w:ind w:firstLine="480"/>
        <w:jc w:val="both"/>
      </w:pPr>
      <w:r>
        <w:rPr>
          <w:rFonts w:ascii="Calibri" w:eastAsia="Calibri"/>
          <w:color w:val="182030"/>
          <w:sz w:val="22"/>
          <w:szCs w:val="22"/>
        </w:rPr>
        <w:t xml:space="preserve">O Dossiê V2 define um pipeline Kanban completo com seis estágios (01_ENTRADA, 02_QUALIFICACAO, 03_PROPOSTA, 04_NEGOCIACAO, 05_FECHAMENTO, 06_PERDA_TEMPORARIA) e três entidades fundamentais: ENT_LEAD (com campos como telefone, canal de origem e LTV score), ENT_RESERVATION (datas, tipo de quarto, valor) e ENT_INTERACTION (registro de cada toque com o lead). Nenhum destes elementos possui equivalente na arquitetura ZAOS atual.</w:t>
      </w:r>
    </w:p>
    <w:p>
      <w:pPr>
        <w:spacing w:after="120" w:line="312"/>
        <w:ind w:firstLine="480"/>
        <w:jc w:val="both"/>
      </w:pPr>
      <w:r>
        <w:rPr>
          <w:rFonts w:ascii="Calibri" w:eastAsia="Calibri"/>
          <w:color w:val="182030"/>
          <w:sz w:val="22"/>
          <w:szCs w:val="22"/>
        </w:rPr>
        <w:t xml:space="preserve">Sem este bounded context, o cérebro ZEHLA é capaz de rotear mensagens, classificar intenções e manter conversas contextualizadas, mas não consegue rastrear o ciclo de vida comercial de um lead. Uma conversa classificada como booking_new_request hoje desaparece amanhã se não houver um repository que persista o estado. Este é o gap de maior impacto, pois afeta diretamente a capacidade de conversão e a mensuração do funil. A criação de um bounded context crm/ com Value Objects e Repositories (SQLite WAL) é o primeiro passo indispensável para qualquer outra integração comercial.</w:t>
      </w:r>
    </w:p>
    <w:p>
      <w:pPr>
        <w:pStyle w:val="Heading2"/>
        <w:spacing w:after="160" w:before="300" w:line="312"/>
      </w:pPr>
      <w:bookmarkStart w:id="100005" w:name="_Toc100005"/>
      <w:r>
        <w:rPr>
          <w:rFonts w:ascii="Calibri" w:eastAsia="Calibri"/>
          <w:b/>
          <w:bCs/>
          <w:color w:val="101820"/>
          <w:sz w:val="28"/>
          <w:szCs w:val="28"/>
        </w:rPr>
        <w:t xml:space="preserve">3.2 Revenue Pricing Agent</w:t>
      </w:r>
      <w:bookmarkEnd w:id="100005"/>
    </w:p>
    <w:p>
      <w:pPr>
        <w:spacing w:after="120" w:line="312"/>
        <w:ind w:firstLine="480"/>
        <w:jc w:val="both"/>
      </w:pPr>
      <w:r>
        <w:rPr>
          <w:rFonts w:ascii="Calibri" w:eastAsia="Calibri"/>
          <w:color w:val="182030"/>
          <w:sz w:val="22"/>
          <w:szCs w:val="22"/>
        </w:rPr>
        <w:t xml:space="preserve">O Dossiê V3.3 descreve um Agente Revenue capaz de calcular precificação dinâmica com base em pace de ocupação, sazonalidade, perfil do hóspede e elasticidade de demanda. O ZAOS possui o GraphRAG (EVOLUÇÃO 04) com Personalized PageRank e BFS para traversal de grafo, mas este componente não está conectado a nenhuma lógica de precificação. Não existe um bucket de classificação para revenue_pricing_dynamic, nem DSPy Signature para Análise de Pace e Sugestão de Preço.</w:t>
      </w:r>
    </w:p>
    <w:p>
      <w:pPr>
        <w:spacing w:after="120" w:line="312"/>
        <w:ind w:firstLine="480"/>
        <w:jc w:val="both"/>
      </w:pPr>
      <w:r>
        <w:rPr>
          <w:rFonts w:ascii="Calibri" w:eastAsia="Calibri"/>
          <w:color w:val="182030"/>
          <w:sz w:val="22"/>
          <w:szCs w:val="22"/>
        </w:rPr>
        <w:t xml:space="preserve">A ausência de inteligência de precificação significa que o cérebro pode identificar que um hóspede é susceptível a upsell de vinhos (GraphRAG), mas não pode calcular dinamicamente se o quarto com lareira deve ser oferecido a R$ 450 ou R$ 520 nesta noite específica. A integração requer a criação de um novo bucket no ContextDiscretizer, uma DSPy Signature que receba dados de ocupação e histórico, e um pipeline de output que alimente a interface de resposta ao hóspede.</w:t>
      </w:r>
    </w:p>
    <w:p>
      <w:pPr>
        <w:pStyle w:val="Heading2"/>
        <w:spacing w:after="160" w:before="300" w:line="312"/>
      </w:pPr>
      <w:bookmarkStart w:id="100006" w:name="_Toc100006"/>
      <w:r>
        <w:rPr>
          <w:rFonts w:ascii="Calibri" w:eastAsia="Calibri"/>
          <w:b/>
          <w:bCs/>
          <w:color w:val="101820"/>
          <w:sz w:val="28"/>
          <w:szCs w:val="28"/>
        </w:rPr>
        <w:t xml:space="preserve">3.3 Motor de Follow-up / Farmer IA</w:t>
      </w:r>
      <w:bookmarkEnd w:id="100006"/>
    </w:p>
    <w:p>
      <w:pPr>
        <w:spacing w:after="120" w:line="312"/>
        <w:ind w:firstLine="480"/>
        <w:jc w:val="both"/>
      </w:pPr>
      <w:r>
        <w:rPr>
          <w:rFonts w:ascii="Calibri" w:eastAsia="Calibri"/>
          <w:color w:val="182030"/>
          <w:sz w:val="22"/>
          <w:szCs w:val="22"/>
        </w:rPr>
        <w:t xml:space="preserve">O Dossiê V2.7 prescreve um motor de follow-up com cadência operacional de 2 horas (engajamento inicial), 24 horas (urgência) e 48 horas (arma de fechamento). Este motor é criticamente importante para a conversão de leads quentes que não responderam ao primeiro contato. Atualmente, o ZAOS não possui nenhum mecanismo de cadência temporal — o processamento é puramente reativo (respondendo a estímulos), sem capacidade proativa de disparo programado.</w:t>
      </w:r>
    </w:p>
    <w:p>
      <w:pPr>
        <w:spacing w:after="120" w:line="312"/>
        <w:ind w:firstLine="480"/>
        <w:jc w:val="both"/>
      </w:pPr>
      <w:r>
        <w:rPr>
          <w:rFonts w:ascii="Calibri" w:eastAsia="Calibri"/>
          <w:color w:val="182030"/>
          <w:sz w:val="22"/>
          <w:szCs w:val="22"/>
        </w:rPr>
        <w:t xml:space="preserve">Este gap requer a criação de um bounded context dedicado com um scheduler (cron-based ou event-driven), templates de mensagem para cada janela temporal, integração com o CRM Kanban para atualização de status, e uma DSPy Signature GenerateFollowUp que personalize o conteúdo com base no perfil do lead e no histórico de interações. O Farmer IA, que reativa hóspedes com checkout superior a 180 dias, compartilha a mesma infraestrutura de cadência.</w:t>
      </w:r>
    </w:p>
    <w:p>
      <w:pPr>
        <w:pStyle w:val="Heading2"/>
        <w:spacing w:after="160" w:before="300" w:line="312"/>
      </w:pPr>
      <w:bookmarkStart w:id="100007" w:name="_Toc100007"/>
      <w:r>
        <w:rPr>
          <w:rFonts w:ascii="Calibri" w:eastAsia="Calibri"/>
          <w:b/>
          <w:bCs/>
          <w:color w:val="101820"/>
          <w:sz w:val="28"/>
          <w:szCs w:val="28"/>
        </w:rPr>
        <w:t xml:space="preserve">3.4 Escalation Sentiment→Closer</w:t>
      </w:r>
      <w:bookmarkEnd w:id="100007"/>
    </w:p>
    <w:p>
      <w:pPr>
        <w:spacing w:after="120" w:line="312"/>
        <w:ind w:firstLine="480"/>
        <w:jc w:val="both"/>
      </w:pPr>
      <w:r>
        <w:rPr>
          <w:rFonts w:ascii="Calibri" w:eastAsia="Calibri"/>
          <w:color w:val="182030"/>
          <w:sz w:val="22"/>
          <w:szCs w:val="22"/>
        </w:rPr>
        <w:t xml:space="preserve">O Dossiê V3.5 estabelece que, quando o sentimento de uma interação é classificado como Frustrado, o sistema deve escalar automaticamente para um agente humano (Closer). O ZAOS possui o QualityProxy (Lote 1) com seis heurísticas zero-LLM capazes de detectar sentimento, e o FallbackChainExecutor (Lote 4) que direciona para fallbacks quando necessário. Entretanto, não existe um protocolo que conecte o score de sentimento do QualityProxy ao FallbackChain com trigger automático.</w:t>
      </w:r>
    </w:p>
    <w:p>
      <w:pPr>
        <w:spacing w:after="120" w:line="312"/>
        <w:ind w:firstLine="480"/>
        <w:jc w:val="both"/>
      </w:pPr>
      <w:r>
        <w:rPr>
          <w:rFonts w:ascii="Calibri" w:eastAsia="Calibri"/>
          <w:color w:val="182030"/>
          <w:sz w:val="22"/>
          <w:szCs w:val="22"/>
        </w:rPr>
        <w:t xml:space="preserve">A solução envolve adicionar uma regra condicional no ContextDiscretizer: se sentiment_score &lt;= -0.5 E bucket pertence ao conjunto {complaint_*, sentiment_*}, então acionar o FallbackChain com destino humano via socket CRM. Esta é uma integração de baixa complexidade técnica, mas de alto impacto na satisfação do cliente e na prevenção de churn.</w:t>
      </w:r>
    </w:p>
    <w:p>
      <w:pPr>
        <w:pStyle w:val="Heading2"/>
        <w:spacing w:after="160" w:before="300" w:line="312"/>
      </w:pPr>
      <w:bookmarkStart w:id="100008" w:name="_Toc100008"/>
      <w:r>
        <w:rPr>
          <w:rFonts w:ascii="Calibri" w:eastAsia="Calibri"/>
          <w:b/>
          <w:bCs/>
          <w:color w:val="101820"/>
          <w:sz w:val="28"/>
          <w:szCs w:val="28"/>
        </w:rPr>
        <w:t xml:space="preserve">3.5 Módulo LGPD Compliance</w:t>
      </w:r>
      <w:bookmarkEnd w:id="100008"/>
    </w:p>
    <w:p>
      <w:pPr>
        <w:spacing w:after="120" w:line="312"/>
        <w:ind w:firstLine="480"/>
        <w:jc w:val="both"/>
      </w:pPr>
      <w:r>
        <w:rPr>
          <w:rFonts w:ascii="Calibri" w:eastAsia="Calibri"/>
          <w:color w:val="182030"/>
          <w:sz w:val="22"/>
          <w:szCs w:val="22"/>
        </w:rPr>
        <w:t xml:space="preserve">O Dossiê V4.2 exige o cumprimento da Lei Geral de Proteção de Dados (LGPD), incluindo o direito ao esquecimento (Right to be Forgotten). Quando um titular solicita a exclusão de seus dados, o sistema deve: (a) localizar todas as notas atômicas no A-MEM associadas ao telefone e pousada, (b) removê-las do VectorDB, (c) ofuscar campos PII (dados pessoais identificáveis) no PostgreSQL/SQLite, e (d) registrar o evento no ZehlaEventBus para auditoria.</w:t>
      </w:r>
    </w:p>
    <w:p>
      <w:pPr>
        <w:spacing w:after="120" w:line="312"/>
        <w:ind w:firstLine="480"/>
        <w:jc w:val="both"/>
      </w:pPr>
      <w:r>
        <w:rPr>
          <w:rFonts w:ascii="Calibri" w:eastAsia="Calibri"/>
          <w:color w:val="182030"/>
          <w:sz w:val="22"/>
          <w:szCs w:val="22"/>
        </w:rPr>
        <w:t xml:space="preserve">Atualmente, nenhum dos cinco pilares do ZAOS endereça requisitos de privacidade ou expurgação. O A-MEM armazena dados pessoais em atomic notes indexados por vectorDB, sem protocolo de deleção. A criação de um módulo privacy/ com endpoint webhook /api/privacy/forget é essencial não apenas para compliance legal, mas como requisito fundamental para a confiança comercial dos pousadeiros parceiros.</w:t>
      </w:r>
    </w:p>
    <w:p>
      <w:pPr>
        <w:pStyle w:val="Heading1"/>
        <w:spacing w:after="200" w:before="400" w:line="312"/>
      </w:pPr>
      <w:bookmarkStart w:id="100009" w:name="_Toc100009"/>
      <w:r>
        <w:rPr>
          <w:rFonts w:ascii="Calibri" w:eastAsia="Calibri"/>
          <w:b/>
          <w:bCs/>
          <w:color w:val="101820"/>
          <w:sz w:val="32"/>
          <w:szCs w:val="32"/>
        </w:rPr>
        <w:t xml:space="preserve">4. Teses de Integração Prioritárias</w:t>
      </w:r>
      <w:bookmarkEnd w:id="100009"/>
    </w:p>
    <w:p>
      <w:pPr>
        <w:spacing w:after="120" w:line="312"/>
        <w:ind w:firstLine="480"/>
        <w:jc w:val="both"/>
      </w:pPr>
      <w:r>
        <w:rPr>
          <w:rFonts w:ascii="Calibri" w:eastAsia="Calibri"/>
          <w:color w:val="182030"/>
          <w:sz w:val="22"/>
          <w:szCs w:val="22"/>
        </w:rPr>
        <w:t xml:space="preserve">Com base nos gaps identificados e nas oportunidades de sinergia, propomos oito teses de integração priorizadas por impacto comercial e viabilidade técnica. Cada tese inclui a justificativa estratégica, os artefatos técnicos necessários e os pontos de integração com a arquitetura existente.</w:t>
      </w:r>
    </w:p>
    <w:p>
      <w:pPr>
        <w:pStyle w:val="Heading2"/>
        <w:spacing w:after="160" w:before="300" w:line="312"/>
      </w:pPr>
      <w:bookmarkStart w:id="100010" w:name="_Toc100010"/>
      <w:r>
        <w:rPr>
          <w:rFonts w:ascii="Calibri" w:eastAsia="Calibri"/>
          <w:b/>
          <w:bCs/>
          <w:color w:val="101820"/>
          <w:sz w:val="28"/>
          <w:szCs w:val="28"/>
        </w:rPr>
        <w:t xml:space="preserve">Tese 1: CRM Context (Bounded Context Novo)</w:t>
      </w:r>
      <w:bookmarkEnd w:id="100010"/>
    </w:p>
    <w:p>
      <w:pPr>
        <w:spacing w:after="120" w:line="312"/>
        <w:ind w:firstLine="480"/>
        <w:jc w:val="both"/>
      </w:pPr>
      <w:r>
        <w:rPr>
          <w:rFonts w:ascii="Calibri" w:eastAsia="Calibri"/>
          <w:color w:val="182030"/>
          <w:sz w:val="22"/>
          <w:szCs w:val="22"/>
        </w:rPr>
        <w:t xml:space="preserve">Criar o bounded context crm/ com três Value Objects principais: LeadProfile (id, phone, origin_channel, LTV_score, stage, created_at), ReservationSnapshot (id, lead_id, checkin, checkout, room_type, price, status) e InteractionRecord (id, lead_id, channel, timestamp, sentiment_score, token_cost, outcome). A integração com o ZehlaEventBus permite atualizações em tempo real — quando o HERMES Agent classifica uma mensagem como booking_new_request, um evento LeadCreated é emitido e o CRM atualiza o Kanban automaticamente. Esta é a integração mais prioritária, pois serve de base para todas as demais.</w:t>
      </w:r>
    </w:p>
    <w:p>
      <w:pPr>
        <w:pStyle w:val="Heading2"/>
        <w:spacing w:after="160" w:before="300" w:line="312"/>
      </w:pPr>
      <w:bookmarkStart w:id="100011" w:name="_Toc100011"/>
      <w:r>
        <w:rPr>
          <w:rFonts w:ascii="Calibri" w:eastAsia="Calibri"/>
          <w:b/>
          <w:bCs/>
          <w:color w:val="101820"/>
          <w:sz w:val="28"/>
          <w:szCs w:val="28"/>
        </w:rPr>
        <w:t xml:space="preserve">Tese 2: Revenue Agent como Novo Bucket CADMAS-CTX</w:t>
      </w:r>
      <w:bookmarkEnd w:id="100011"/>
    </w:p>
    <w:p>
      <w:pPr>
        <w:spacing w:after="120" w:line="312"/>
        <w:ind w:firstLine="480"/>
        <w:jc w:val="both"/>
      </w:pPr>
      <w:r>
        <w:rPr>
          <w:rFonts w:ascii="Calibri" w:eastAsia="Calibri"/>
          <w:color w:val="182030"/>
          <w:sz w:val="22"/>
          <w:szCs w:val="22"/>
        </w:rPr>
        <w:t xml:space="preserve">Adicionar o bucket revenue_pricing_dynamic ao ContextDiscretizer, expandindo a taxonomia de 32 buckets. A DSPy Signature AnalyzePaceSuggestPrice recebe como input: ocupação atual, pace histórico, sazonalidade, perfil do hóspede (do A-MEM) e competição (scraping periódico). O output é uma sugestão de preço com intervalo de confiança. A integração com o GraphRAG (EVOLUÇÃO 04) permite upsell contextual — por exemplo, identificar que um hóspede que reserva em dezembro historicamente aceita upgrades de quarto com lareira.</w:t>
      </w:r>
    </w:p>
    <w:p>
      <w:pPr>
        <w:pStyle w:val="Heading2"/>
        <w:spacing w:after="160" w:before="300" w:line="312"/>
      </w:pPr>
      <w:bookmarkStart w:id="100012" w:name="_Toc100012"/>
      <w:r>
        <w:rPr>
          <w:rFonts w:ascii="Calibri" w:eastAsia="Calibri"/>
          <w:b/>
          <w:bCs/>
          <w:color w:val="101820"/>
          <w:sz w:val="28"/>
          <w:szCs w:val="28"/>
        </w:rPr>
        <w:t xml:space="preserve">Tese 3: Motor de Follow-up</w:t>
      </w:r>
      <w:bookmarkEnd w:id="100012"/>
    </w:p>
    <w:p>
      <w:pPr>
        <w:spacing w:after="120" w:line="312"/>
        <w:ind w:firstLine="480"/>
        <w:jc w:val="both"/>
      </w:pPr>
      <w:r>
        <w:rPr>
          <w:rFonts w:ascii="Calibri" w:eastAsia="Calibri"/>
          <w:color w:val="182030"/>
          <w:sz w:val="22"/>
          <w:szCs w:val="22"/>
        </w:rPr>
        <w:t xml:space="preserve">Implementar cadência engine com três templates de janela temporal: engajamento (2h após primeira interação sem resposta), urgência (24h, com oferta de benefício exclusivo) e arma de fechamento (48h, com escassez e prova social). A DSPy Signature GenerateFollowUp personaliza cada mensagem com dados do perfil do lead, preferências armazenadas no A-MEM e contexto da última interação. A integração com o CRM Kanban atualiza automaticamente o estágio do lead a cada disparo e resposta.</w:t>
      </w:r>
    </w:p>
    <w:p>
      <w:pPr>
        <w:pStyle w:val="Heading2"/>
        <w:spacing w:after="160" w:before="300" w:line="312"/>
      </w:pPr>
      <w:bookmarkStart w:id="100013" w:name="_Toc100013"/>
      <w:r>
        <w:rPr>
          <w:rFonts w:ascii="Calibri" w:eastAsia="Calibri"/>
          <w:b/>
          <w:bCs/>
          <w:color w:val="101820"/>
          <w:sz w:val="28"/>
          <w:szCs w:val="28"/>
        </w:rPr>
        <w:t xml:space="preserve">Tese 4: Escalation Sentiment→Closer</w:t>
      </w:r>
      <w:bookmarkEnd w:id="100013"/>
    </w:p>
    <w:p>
      <w:pPr>
        <w:spacing w:after="120" w:line="312"/>
        <w:ind w:firstLine="480"/>
        <w:jc w:val="both"/>
      </w:pPr>
      <w:r>
        <w:rPr>
          <w:rFonts w:ascii="Calibri" w:eastAsia="Calibri"/>
          <w:color w:val="182030"/>
          <w:sz w:val="22"/>
          <w:szCs w:val="22"/>
        </w:rPr>
        <w:t xml:space="preserve">Conectar o score de sentimento do QualityProxy ao FallbackChainExecutor. A regra é: se sentiment_score &lt;= -0.5 E bucket pertence ao conjunto {complaint_*, sentiment_*}, escalar para agente humano via socket CRM com prioridade alta. O pacote de escalada inclui: transcrição resumida, score de sentimento, histórico das últimas 5 interações e recomendação de ação gerada por DSPy. Esta integração protege a receita ao evitar que clientes frustrados abandonem sem recuperação.</w:t>
      </w:r>
    </w:p>
    <w:p>
      <w:pPr>
        <w:pStyle w:val="Heading2"/>
        <w:spacing w:after="160" w:before="300" w:line="312"/>
      </w:pPr>
      <w:bookmarkStart w:id="100014" w:name="_Toc100014"/>
      <w:r>
        <w:rPr>
          <w:rFonts w:ascii="Calibri" w:eastAsia="Calibri"/>
          <w:b/>
          <w:bCs/>
          <w:color w:val="101820"/>
          <w:sz w:val="28"/>
          <w:szCs w:val="28"/>
        </w:rPr>
        <w:t xml:space="preserve">Tese 5: Slot Filling no SDR IA</w:t>
      </w:r>
      <w:bookmarkEnd w:id="100014"/>
    </w:p>
    <w:p>
      <w:pPr>
        <w:spacing w:after="120" w:line="312"/>
        <w:ind w:firstLine="480"/>
        <w:jc w:val="both"/>
      </w:pPr>
      <w:r>
        <w:rPr>
          <w:rFonts w:ascii="Calibri" w:eastAsia="Calibri"/>
          <w:color w:val="182030"/>
          <w:sz w:val="22"/>
          <w:szCs w:val="22"/>
        </w:rPr>
        <w:t xml:space="preserve">Criar DSPy Signature SlotFillLead que extrai automaticamente cinco slots de uma conversa: data_checkin, data_checkout, num_pessoas, tipo_quarto e budget. Estes slots alimentam diretamente o Agente Revenue para cotação dinâmica e reduzem o tempo de resposta. O SlotFillLead opera no bucket booking_new_request do CADMAS-CTX e é acionado pelo HERMES Agent após a classificação inicial. A precisão do slot filling é garantida pelo sistema de auto-evolução (EVOLUÇÃO 01) que ajusta os prompts com base em feedback humano.</w:t>
      </w:r>
    </w:p>
    <w:p>
      <w:pPr>
        <w:pStyle w:val="Heading2"/>
        <w:spacing w:after="160" w:before="300" w:line="312"/>
      </w:pPr>
      <w:bookmarkStart w:id="100015" w:name="_Toc100015"/>
      <w:r>
        <w:rPr>
          <w:rFonts w:ascii="Calibri" w:eastAsia="Calibri"/>
          <w:b/>
          <w:bCs/>
          <w:color w:val="101820"/>
          <w:sz w:val="28"/>
          <w:szCs w:val="28"/>
        </w:rPr>
        <w:t xml:space="preserve">Tese 6: ROAS Reverse no Budget Guard</w:t>
      </w:r>
      <w:bookmarkEnd w:id="100015"/>
    </w:p>
    <w:p>
      <w:pPr>
        <w:spacing w:after="120" w:line="312"/>
        <w:ind w:firstLine="480"/>
        <w:jc w:val="both"/>
      </w:pPr>
      <w:r>
        <w:rPr>
          <w:rFonts w:ascii="Calibri" w:eastAsia="Calibri"/>
          <w:color w:val="182030"/>
          <w:sz w:val="22"/>
          <w:szCs w:val="22"/>
        </w:rPr>
        <w:t xml:space="preserve">Adicionar a métrica cost_per_closed_deal ao InteractionRecord no CRM. O Budget Guard passa a calcular não apenas o custo em tokens por interação, mas o revenue-per-token para otimização multiobjetivo de Pareto. Quando o custo por deal closed ultrapassa o threshold, o sistema redireciona automaticamente para canais de menor custo (WhatsApp vs Instagram vs Email). Este é o conceito de ROAS reverso descrito no Dossiê V3.5: em vez de maximizar retorno sobre investimento publicitário, minimiza custo de conversão por token.</w:t>
      </w:r>
    </w:p>
    <w:p>
      <w:pPr>
        <w:pStyle w:val="Heading2"/>
        <w:spacing w:after="160" w:before="300" w:line="312"/>
      </w:pPr>
      <w:bookmarkStart w:id="100016" w:name="_Toc100016"/>
      <w:r>
        <w:rPr>
          <w:rFonts w:ascii="Calibri" w:eastAsia="Calibri"/>
          <w:b/>
          <w:bCs/>
          <w:color w:val="101820"/>
          <w:sz w:val="28"/>
          <w:szCs w:val="28"/>
        </w:rPr>
        <w:t xml:space="preserve">Tese 7: Farmer IA (Reativação)</w:t>
      </w:r>
      <w:bookmarkEnd w:id="100016"/>
    </w:p>
    <w:p>
      <w:pPr>
        <w:spacing w:after="120" w:line="312"/>
        <w:ind w:firstLine="480"/>
        <w:jc w:val="both"/>
      </w:pPr>
      <w:r>
        <w:rPr>
          <w:rFonts w:ascii="Calibri" w:eastAsia="Calibri"/>
          <w:color w:val="182030"/>
          <w:sz w:val="22"/>
          <w:szCs w:val="22"/>
        </w:rPr>
        <w:t xml:space="preserve">Agente proativo que consulta o CRM por hóspedes com checkout há mais de 180 dias, utiliza o A-MEM para recuperar preferências pessoais (tipo de vinho, época preferida, acompanhantes) e gera uma oferta sazonal personalizada. A DSPy Signature GenerateReactivationOffer cria mensagens contextualizadas e o DispatchScheduler dispara via WhatsApp. Este agente tem potencial de gerar receita recorrente com custo marginal próximo de zero, pois reativa hóspedes já convencidos da marca.</w:t>
      </w:r>
    </w:p>
    <w:p>
      <w:pPr>
        <w:pStyle w:val="Heading2"/>
        <w:spacing w:after="160" w:before="300" w:line="312"/>
      </w:pPr>
      <w:bookmarkStart w:id="100017" w:name="_Toc100017"/>
      <w:r>
        <w:rPr>
          <w:rFonts w:ascii="Calibri" w:eastAsia="Calibri"/>
          <w:b/>
          <w:bCs/>
          <w:color w:val="101820"/>
          <w:sz w:val="28"/>
          <w:szCs w:val="28"/>
        </w:rPr>
        <w:t xml:space="preserve">Tese 8: Módulo LGPD Privacy</w:t>
      </w:r>
      <w:bookmarkEnd w:id="100017"/>
    </w:p>
    <w:p>
      <w:pPr>
        <w:spacing w:after="120" w:line="312"/>
        <w:ind w:firstLine="480"/>
        <w:jc w:val="both"/>
      </w:pPr>
      <w:r>
        <w:rPr>
          <w:rFonts w:ascii="Calibri" w:eastAsia="Calibri"/>
          <w:color w:val="182030"/>
          <w:sz w:val="22"/>
          <w:szCs w:val="22"/>
        </w:rPr>
        <w:t xml:space="preserve">Implementar endpoint webhook /api/privacy/forget que executa pipeline de expurgação em quatro etapas: (a) busca notas A-MEM por pousada_scope + phone, (b) exclusão do VectorDB via API de deleção por metadados, (c) ofuscação de campos PII no PostgreSQL/SQLite (substituição por hash irreversível), e (d) registro do evento PrivacyExpungeCompleted no ZehlaEventBus para auditoria. A conformidade LGPD não é negociável para operação comercial no Brasil e deve ser tratada como requisito de launch.</w:t>
      </w:r>
    </w:p>
    <w:p>
      <w:pPr>
        <w:pStyle w:val="Heading1"/>
        <w:spacing w:after="200" w:before="400" w:line="312"/>
      </w:pPr>
      <w:bookmarkStart w:id="100018" w:name="_Toc100018"/>
      <w:r>
        <w:rPr>
          <w:rFonts w:ascii="Calibri" w:eastAsia="Calibri"/>
          <w:b/>
          <w:bCs/>
          <w:color w:val="101820"/>
          <w:sz w:val="32"/>
          <w:szCs w:val="32"/>
        </w:rPr>
        <w:t xml:space="preserve">5. Matriz de Integração por Anéis ZEHLA PRIME</w:t>
      </w:r>
      <w:bookmarkEnd w:id="100018"/>
    </w:p>
    <w:p>
      <w:pPr>
        <w:spacing w:after="120" w:line="312"/>
        <w:ind w:firstLine="480"/>
        <w:jc w:val="both"/>
      </w:pPr>
      <w:r>
        <w:rPr>
          <w:rFonts w:ascii="Calibri" w:eastAsia="Calibri"/>
          <w:color w:val="182030"/>
          <w:sz w:val="22"/>
          <w:szCs w:val="22"/>
        </w:rPr>
        <w:t xml:space="preserve">A matriz a seguir mapeia qual anel da arquitetura ZEHLA PRIME é impactado por cada integração proposta. Observe que as sete teses de integração se distribuem de forma relativamente uniforme pelos sete anéis, indicando que o impacto é sistêmico e não localizado. Nenhum anel fica imune às mudanças propostas.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0%"/>
            <w:tcBorders>
              <w:top w:val="none" w:color="FFFFFF" w:sz="0"/>
              <w:left w:val="none" w:color="FFFFFF" w:sz="0"/>
              <w:bottom w:val="none" w:color="FFFFFF" w:sz="0"/>
              <w:right w:val="none" w:color="FFFFFF" w:sz="0"/>
            </w:tcBorders>
            <w:shd w:fill="0097A7" w:val="clear"/>
          </w:tcPr>
          <w:p>
            <w:pPr>
              <w:spacing w:after="60" w:before="60" w:line="280"/>
            </w:pPr>
            <w:r>
              <w:rPr>
                <w:rFonts w:ascii="Calibri"/>
                <w:b/>
                <w:bCs/>
                <w:color w:val="FFFFFF"/>
                <w:sz w:val="20"/>
                <w:szCs w:val="20"/>
              </w:rPr>
              <w:t xml:space="preserve">Anel ZEHLA PRIME</w:t>
            </w:r>
          </w:p>
        </w:tc>
        <w:tc>
          <w:tcPr>
            <w:tcW w:type="pct" w:w="45%"/>
            <w:tcBorders>
              <w:top w:val="none" w:color="FFFFFF" w:sz="0"/>
              <w:left w:val="none" w:color="FFFFFF" w:sz="0"/>
              <w:bottom w:val="none" w:color="FFFFFF" w:sz="0"/>
              <w:right w:val="none" w:color="FFFFFF" w:sz="0"/>
            </w:tcBorders>
            <w:shd w:fill="0097A7" w:val="clear"/>
          </w:tcPr>
          <w:p>
            <w:pPr>
              <w:spacing w:after="60" w:before="60" w:line="280"/>
            </w:pPr>
            <w:r>
              <w:rPr>
                <w:rFonts w:ascii="Calibri"/>
                <w:b/>
                <w:bCs/>
                <w:color w:val="FFFFFF"/>
                <w:sz w:val="20"/>
                <w:szCs w:val="20"/>
              </w:rPr>
              <w:t xml:space="preserve">Integrações do Dossiê</w:t>
            </w:r>
          </w:p>
        </w:tc>
        <w:tc>
          <w:tcPr>
            <w:tcW w:type="pct" w:w="35%"/>
            <w:tcBorders>
              <w:top w:val="none" w:color="FFFFFF" w:sz="0"/>
              <w:left w:val="none" w:color="FFFFFF" w:sz="0"/>
              <w:bottom w:val="none" w:color="FFFFFF" w:sz="0"/>
              <w:right w:val="none" w:color="FFFFFF" w:sz="0"/>
            </w:tcBorders>
            <w:shd w:fill="0097A7" w:val="clear"/>
          </w:tcPr>
          <w:p>
            <w:pPr>
              <w:spacing w:after="60" w:before="60" w:line="280"/>
            </w:pPr>
            <w:r>
              <w:rPr>
                <w:rFonts w:ascii="Calibri"/>
                <w:b/>
                <w:bCs/>
                <w:color w:val="FFFFFF"/>
                <w:sz w:val="20"/>
                <w:szCs w:val="20"/>
              </w:rPr>
              <w:t xml:space="preserve">Impacto</w:t>
            </w:r>
          </w:p>
        </w:tc>
      </w:tr>
      <w:tr>
        <w:trPr>
          <w:cantSplit/>
        </w:trPr>
        <w:tc>
          <w:tcPr>
            <w:tcW w:type="pct" w:w="20%"/>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Awareness</w:t>
            </w:r>
          </w:p>
        </w:tc>
        <w:tc>
          <w:tcPr>
            <w:tcW w:type="pct" w:w="45%"/>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Fallback por Sentimento, Slot Filling</w:t>
            </w:r>
          </w:p>
        </w:tc>
        <w:tc>
          <w:tcPr>
            <w:tcW w:type="pct" w:w="35%"/>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Pipeline do router mais comercial</w:t>
            </w:r>
          </w:p>
        </w:tc>
      </w:tr>
      <w:tr>
        <w:trPr>
          <w:cantSplit/>
        </w:trPr>
        <w:tc>
          <w:tcPr>
            <w:tcW w:type="pct" w:w="20%"/>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Ingestion</w:t>
            </w:r>
          </w:p>
        </w:tc>
        <w:tc>
          <w:tcPr>
            <w:tcW w:type="pct" w:w="45%"/>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CRM Events (Lead/Reservation/Interaction)</w:t>
            </w:r>
          </w:p>
        </w:tc>
        <w:tc>
          <w:tcPr>
            <w:tcW w:type="pct" w:w="35%"/>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Novas DSPy Signatures para ingestão comercial</w:t>
            </w:r>
          </w:p>
        </w:tc>
      </w:tr>
      <w:tr>
        <w:trPr>
          <w:cantSplit/>
        </w:trPr>
        <w:tc>
          <w:tcPr>
            <w:tcW w:type="pct" w:w="20%"/>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Enrichment</w:t>
            </w:r>
          </w:p>
        </w:tc>
        <w:tc>
          <w:tcPr>
            <w:tcW w:type="pct" w:w="45%"/>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Revenue Agent, Follow-up Engine</w:t>
            </w:r>
          </w:p>
        </w:tc>
        <w:tc>
          <w:tcPr>
            <w:tcW w:type="pct" w:w="35%"/>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Enriquecimento com dados de pricing e cadência</w:t>
            </w:r>
          </w:p>
        </w:tc>
      </w:tr>
      <w:tr>
        <w:trPr>
          <w:cantSplit/>
        </w:trPr>
        <w:tc>
          <w:tcPr>
            <w:tcW w:type="pct" w:w="20%"/>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Memory</w:t>
            </w:r>
          </w:p>
        </w:tc>
        <w:tc>
          <w:tcPr>
            <w:tcW w:type="pct" w:w="45%"/>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Farmer IA (180d reativação), A-MEM preferences</w:t>
            </w:r>
          </w:p>
        </w:tc>
        <w:tc>
          <w:tcPr>
            <w:tcW w:type="pct" w:w="35%"/>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A-MEM ganha dados comerciais orgânicos</w:t>
            </w:r>
          </w:p>
        </w:tc>
      </w:tr>
      <w:tr>
        <w:trPr>
          <w:cantSplit/>
        </w:trPr>
        <w:tc>
          <w:tcPr>
            <w:tcW w:type="pct" w:w="20%"/>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Cognition</w:t>
            </w:r>
          </w:p>
        </w:tc>
        <w:tc>
          <w:tcPr>
            <w:tcW w:type="pct" w:w="45%"/>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GraphRAG upsell (clima→vinhos), Revenue analysis</w:t>
            </w:r>
          </w:p>
        </w:tc>
        <w:tc>
          <w:tcPr>
            <w:tcW w:type="pct" w:w="35%"/>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GraphRAG conectado a receita</w:t>
            </w:r>
          </w:p>
        </w:tc>
      </w:tr>
      <w:tr>
        <w:trPr>
          <w:cantSplit/>
        </w:trPr>
        <w:tc>
          <w:tcPr>
            <w:tcW w:type="pct" w:w="20%"/>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Orchestration</w:t>
            </w:r>
          </w:p>
        </w:tc>
        <w:tc>
          <w:tcPr>
            <w:tcW w:type="pct" w:w="45%"/>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DispatchScheduler + CRM pipeline routing</w:t>
            </w:r>
          </w:p>
        </w:tc>
        <w:tc>
          <w:tcPr>
            <w:tcW w:type="pct" w:w="35%"/>
            <w:tcBorders>
              <w:top w:val="single" w:color="D0D8DD" w:sz="1"/>
              <w:left w:val="none" w:color="FFFFFF" w:sz="0"/>
              <w:bottom w:val="single" w:color="D0D8DD" w:sz="1"/>
              <w:right w:val="none" w:color="FFFFFF" w:sz="0"/>
            </w:tcBorders>
            <w:shd w:fill="FFFFFF" w:val="clear"/>
          </w:tcPr>
          <w:p>
            <w:pPr>
              <w:spacing w:after="50" w:before="50" w:line="276"/>
            </w:pPr>
            <w:r>
              <w:rPr>
                <w:rFonts w:ascii="Calibri"/>
                <w:color w:val="182030"/>
                <w:sz w:val="20"/>
                <w:szCs w:val="20"/>
              </w:rPr>
              <w:t xml:space="preserve">Router direciona para agentes comerciais</w:t>
            </w:r>
          </w:p>
        </w:tc>
      </w:tr>
      <w:tr>
        <w:trPr>
          <w:cantSplit/>
        </w:trPr>
        <w:tc>
          <w:tcPr>
            <w:tcW w:type="pct" w:w="20%"/>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Action</w:t>
            </w:r>
          </w:p>
        </w:tc>
        <w:tc>
          <w:tcPr>
            <w:tcW w:type="pct" w:w="45%"/>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LGPD expurgo, WhatsApp follow-up, Farmer outbound</w:t>
            </w:r>
          </w:p>
        </w:tc>
        <w:tc>
          <w:tcPr>
            <w:tcW w:type="pct" w:w="35%"/>
            <w:tcBorders>
              <w:top w:val="single" w:color="D0D8DD" w:sz="1"/>
              <w:left w:val="none" w:color="FFFFFF" w:sz="0"/>
              <w:bottom w:val="single" w:color="D0D8DD" w:sz="1"/>
              <w:right w:val="none" w:color="FFFFFF" w:sz="0"/>
            </w:tcBorders>
            <w:shd w:fill="F0F7FA" w:val="clear"/>
          </w:tcPr>
          <w:p>
            <w:pPr>
              <w:spacing w:after="50" w:before="50" w:line="276"/>
            </w:pPr>
            <w:r>
              <w:rPr>
                <w:rFonts w:ascii="Calibri"/>
                <w:color w:val="182030"/>
                <w:sz w:val="20"/>
                <w:szCs w:val="20"/>
              </w:rPr>
              <w:t xml:space="preserve">Ações concretas de receita</w:t>
            </w:r>
          </w:p>
        </w:tc>
      </w:tr>
    </w:tbl>
    <w:p>
      <w:pPr>
        <w:spacing w:after="80"/>
      </w:pPr>
      <w:r>
        <w:rPr>
          <w:rFonts w:ascii="Calibri"/>
          <w:i/>
          <w:iCs/>
          <w:color w:val="506070"/>
          <w:sz w:val="20"/>
          <w:szCs w:val="20"/>
        </w:rPr>
        <w:t xml:space="preserve">Tabela 2 — Matriz de impacto por anel ZEHLA PRIME</w:t>
      </w:r>
    </w:p>
    <w:p>
      <w:pPr>
        <w:spacing w:after="120" w:line="312"/>
        <w:ind w:firstLine="480"/>
        <w:jc w:val="both"/>
      </w:pPr>
      <w:r>
        <w:rPr>
          <w:rFonts w:ascii="Calibri" w:eastAsia="Calibri"/>
          <w:color w:val="182030"/>
          <w:sz w:val="22"/>
          <w:szCs w:val="22"/>
        </w:rPr>
        <w:t xml:space="preserve">Os anéis de Action e Orchestration concentram o maior número de integrações, refletindo a natureza prática das teses — não se trata de apenas pensar melhor, mas de agir comercialmente. O anel de Memory é impactado pela Farmer IA e pelo enriquecimento do A-MEM com dados comerciais orgânicos, transformando a memória cognitiva em memória de relacionamento comercial. O anel de Cognition ganha a conexão do GraphRAG ao Revenue, criando um loop onde a inteligência de upsell alimenta e é alimentada pela análise de receita.</w:t>
      </w:r>
    </w:p>
    <w:p>
      <w:pPr>
        <w:pStyle w:val="Heading1"/>
        <w:spacing w:after="200" w:before="400" w:line="312"/>
      </w:pPr>
      <w:bookmarkStart w:id="100019" w:name="_Toc100019"/>
      <w:r>
        <w:rPr>
          <w:rFonts w:ascii="Calibri" w:eastAsia="Calibri"/>
          <w:b/>
          <w:bCs/>
          <w:color w:val="101820"/>
          <w:sz w:val="32"/>
          <w:szCs w:val="32"/>
        </w:rPr>
        <w:t xml:space="preserve">6. Roadmap de Implementação</w:t>
      </w:r>
      <w:bookmarkEnd w:id="100019"/>
    </w:p>
    <w:p>
      <w:pPr>
        <w:spacing w:after="120" w:line="312"/>
        <w:ind w:firstLine="480"/>
        <w:jc w:val="both"/>
      </w:pPr>
      <w:r>
        <w:rPr>
          <w:rFonts w:ascii="Calibri" w:eastAsia="Calibri"/>
          <w:color w:val="182030"/>
          <w:sz w:val="22"/>
          <w:szCs w:val="22"/>
        </w:rPr>
        <w:t xml:space="preserve">O roadmap a seguir propõe a distribuição das oito teses de integração pelos seis lotes existentes do SB25, respeitando a ordem de dependência técnica e prioridade de impacto comercial. Cada lote é independente e validável, seguindo a filosofia Small Batch já adotada no desenvolvimento da arquitetura ZAOS.</w:t>
      </w:r>
    </w:p>
    <w:p>
      <w:pPr>
        <w:pStyle w:val="Heading2"/>
        <w:spacing w:after="160" w:before="300" w:line="312"/>
      </w:pPr>
      <w:bookmarkStart w:id="100020" w:name="_Toc100020"/>
      <w:r>
        <w:rPr>
          <w:rFonts w:ascii="Calibri" w:eastAsia="Calibri"/>
          <w:b/>
          <w:bCs/>
          <w:color w:val="101820"/>
          <w:sz w:val="28"/>
          <w:szCs w:val="28"/>
        </w:rPr>
        <w:t xml:space="preserve">SB25 Lote 1 — Ativo: Value Objects</w:t>
      </w:r>
      <w:bookmarkEnd w:id="100020"/>
    </w:p>
    <w:p>
      <w:pPr>
        <w:spacing w:after="120" w:line="312"/>
        <w:ind w:firstLine="480"/>
        <w:jc w:val="both"/>
      </w:pPr>
      <w:r>
        <w:rPr>
          <w:rFonts w:ascii="Calibri" w:eastAsia="Calibri"/>
          <w:color w:val="182030"/>
          <w:sz w:val="22"/>
          <w:szCs w:val="22"/>
        </w:rPr>
        <w:t xml:space="preserve">Adicionar LeadProfile, ReservationSnapshot e InteractionRecord como Value Objects no domínio crm/. Definir enums para Stage (ENTRADA, QUALIFICACAO, PROPOSTA, NEGOCIACAO, FECHAMENTO, PERDA_TEMPORARIA) e Outcome (CONVERTED, LOST, PENDING). Este lote estabelece o modelo de dados fundamental sem o qual nenhuma integração comercial posterior é viável. Entrega esperada: 3-5 dias.</w:t>
      </w:r>
    </w:p>
    <w:p>
      <w:pPr>
        <w:pStyle w:val="Heading2"/>
        <w:spacing w:after="160" w:before="300" w:line="312"/>
      </w:pPr>
      <w:bookmarkStart w:id="100021" w:name="_Toc100021"/>
      <w:r>
        <w:rPr>
          <w:rFonts w:ascii="Calibri" w:eastAsia="Calibri"/>
          <w:b/>
          <w:bCs/>
          <w:color w:val="101820"/>
          <w:sz w:val="28"/>
          <w:szCs w:val="28"/>
        </w:rPr>
        <w:t xml:space="preserve">SB25 Lote 2 — Próximo: DSPy Signatures</w:t>
      </w:r>
      <w:bookmarkEnd w:id="100021"/>
    </w:p>
    <w:p>
      <w:pPr>
        <w:spacing w:after="120" w:line="312"/>
        <w:ind w:firstLine="480"/>
        <w:jc w:val="both"/>
      </w:pPr>
      <w:r>
        <w:rPr>
          <w:rFonts w:ascii="Calibri" w:eastAsia="Calibri"/>
          <w:color w:val="182030"/>
          <w:sz w:val="22"/>
          <w:szCs w:val="22"/>
        </w:rPr>
        <w:t xml:space="preserve">Implementar cinco DSPy Signatures: SlotFillLead (extração de slots de booking), GenerateFollowUp (geração de follow-up por janela temporal), GenerateReactivationOffer (oferta sazonal personalizada), AuditTranscript (auditoria autônoma de conversas) e AnalyzePaceSuggestPrice (análise de pace com sugestão de preço). Cada Signature deve incluir exemplos de treinamento e métricas de avaliação. Entrega esperada: 5-7 dias.</w:t>
      </w:r>
    </w:p>
    <w:p>
      <w:pPr>
        <w:pStyle w:val="Heading2"/>
        <w:spacing w:after="160" w:before="300" w:line="312"/>
      </w:pPr>
      <w:bookmarkStart w:id="100022" w:name="_Toc100022"/>
      <w:r>
        <w:rPr>
          <w:rFonts w:ascii="Calibri" w:eastAsia="Calibri"/>
          <w:b/>
          <w:bCs/>
          <w:color w:val="101820"/>
          <w:sz w:val="28"/>
          <w:szCs w:val="28"/>
        </w:rPr>
        <w:t xml:space="preserve">SB25 Lote 3: Expandir ContextDiscretizer</w:t>
      </w:r>
      <w:bookmarkEnd w:id="100022"/>
    </w:p>
    <w:p>
      <w:pPr>
        <w:spacing w:after="120" w:line="312"/>
        <w:ind w:firstLine="480"/>
        <w:jc w:val="both"/>
      </w:pPr>
      <w:r>
        <w:rPr>
          <w:rFonts w:ascii="Calibri" w:eastAsia="Calibri"/>
          <w:color w:val="182030"/>
          <w:sz w:val="22"/>
          <w:szCs w:val="22"/>
        </w:rPr>
        <w:t xml:space="preserve">Adicionar três novos buckets ao ContextDiscretizer: revenue_pricing (classificação de requests de precificação), social_selling (identificação de oportunidades de venda social) e followup_cadence (classificação de timing de follow-up). Atualizar a taxonomia de 32 para 35 buckets e re-treinar o Mini Model de classificação. Entrega esperada: 3-5 dias.</w:t>
      </w:r>
    </w:p>
    <w:p>
      <w:pPr>
        <w:pStyle w:val="Heading2"/>
        <w:spacing w:after="160" w:before="300" w:line="312"/>
      </w:pPr>
      <w:bookmarkStart w:id="100023" w:name="_Toc100023"/>
      <w:r>
        <w:rPr>
          <w:rFonts w:ascii="Calibri" w:eastAsia="Calibri"/>
          <w:b/>
          <w:bCs/>
          <w:color w:val="101820"/>
          <w:sz w:val="28"/>
          <w:szCs w:val="28"/>
        </w:rPr>
        <w:t xml:space="preserve">SB25 Lote 4: CRM Repository + LGPD</w:t>
      </w:r>
      <w:bookmarkEnd w:id="100023"/>
    </w:p>
    <w:p>
      <w:pPr>
        <w:spacing w:after="120" w:line="312"/>
        <w:ind w:firstLine="480"/>
        <w:jc w:val="both"/>
      </w:pPr>
      <w:r>
        <w:rPr>
          <w:rFonts w:ascii="Calibri" w:eastAsia="Calibri"/>
          <w:color w:val="182030"/>
          <w:sz w:val="22"/>
          <w:szCs w:val="22"/>
        </w:rPr>
        <w:t xml:space="preserve">Implementar CRM Repository (SQLite WAL) para persistência dos Value Objects do Lote 1, com CRUD completo e queries por stage e timestamp. Paralelamente, criar o módulo privacy/ com webhook /api/privacy/forget implementando as quatro etapas de expurgação (A-MEM lookup, VectorDB delete, PII obfuscation, EventBus audit). Entrega esperada: 5-7 dias.</w:t>
      </w:r>
    </w:p>
    <w:p>
      <w:pPr>
        <w:pStyle w:val="Heading2"/>
        <w:spacing w:after="160" w:before="300" w:line="312"/>
      </w:pPr>
      <w:bookmarkStart w:id="100024" w:name="_Toc100024"/>
      <w:r>
        <w:rPr>
          <w:rFonts w:ascii="Calibri" w:eastAsia="Calibri"/>
          <w:b/>
          <w:bCs/>
          <w:color w:val="101820"/>
          <w:sz w:val="28"/>
          <w:szCs w:val="28"/>
        </w:rPr>
        <w:t xml:space="preserve">SB25 Lote 5: Farmer IA + Escalation</w:t>
      </w:r>
      <w:bookmarkEnd w:id="100024"/>
    </w:p>
    <w:p>
      <w:pPr>
        <w:spacing w:after="120" w:line="312"/>
        <w:ind w:firstLine="480"/>
        <w:jc w:val="both"/>
      </w:pPr>
      <w:r>
        <w:rPr>
          <w:rFonts w:ascii="Calibri" w:eastAsia="Calibri"/>
          <w:color w:val="182030"/>
          <w:sz w:val="22"/>
          <w:szCs w:val="22"/>
        </w:rPr>
        <w:t xml:space="preserve">Implementar o Farmer IA outbound com consulta ao CRM por hóspedes checkout &gt; 180 dias, personalização via A-MEM e disparo via WhatsApp. Wire-up do escalation sentiment→closer: conectar QualityProxy sentiment score ao FallbackChainExecutor com trigger automático para sentiment &lt;= -0.5. Entrega esperada: 3-5 dias.</w:t>
      </w:r>
    </w:p>
    <w:p>
      <w:pPr>
        <w:pStyle w:val="Heading2"/>
        <w:spacing w:after="160" w:before="300" w:line="312"/>
      </w:pPr>
      <w:bookmarkStart w:id="100025" w:name="_Toc100025"/>
      <w:r>
        <w:rPr>
          <w:rFonts w:ascii="Calibri" w:eastAsia="Calibri"/>
          <w:b/>
          <w:bCs/>
          <w:color w:val="101820"/>
          <w:sz w:val="28"/>
          <w:szCs w:val="28"/>
        </w:rPr>
        <w:t xml:space="preserve">SB25 Lote 6: ROAS Reverse + Observabilidade</w:t>
      </w:r>
      <w:bookmarkEnd w:id="100025"/>
    </w:p>
    <w:p>
      <w:pPr>
        <w:spacing w:after="120" w:line="312"/>
        <w:ind w:firstLine="480"/>
        <w:jc w:val="both"/>
      </w:pPr>
      <w:r>
        <w:rPr>
          <w:rFonts w:ascii="Calibri" w:eastAsia="Calibri"/>
          <w:color w:val="182030"/>
          <w:sz w:val="22"/>
          <w:szCs w:val="22"/>
        </w:rPr>
        <w:t xml:space="preserve">Implementar métrica cost_per_closed_deal no InteractionRecord. Atualizar Budget Guard para cálculo de revenue-per-token e otimização Pareto. Criar dashboard comercial (Datadog/Grafana) com: funil de conversão por canal, custo por interação, ROAS reverso, tempo médio de follow-up e taxa de escalada sentimento→humano. Entrega esperada: 5-7 dias.</w:t>
      </w:r>
    </w:p>
    <w:p>
      <w:pPr>
        <w:pStyle w:val="Heading1"/>
        <w:spacing w:after="200" w:before="400" w:line="312"/>
      </w:pPr>
      <w:bookmarkStart w:id="100026" w:name="_Toc100026"/>
      <w:r>
        <w:rPr>
          <w:rFonts w:ascii="Calibri" w:eastAsia="Calibri"/>
          <w:b/>
          <w:bCs/>
          <w:color w:val="101820"/>
          <w:sz w:val="32"/>
          <w:szCs w:val="32"/>
        </w:rPr>
        <w:t xml:space="preserve">7. Conclusão Estratégica</w:t>
      </w:r>
      <w:bookmarkEnd w:id="100026"/>
    </w:p>
    <w:p>
      <w:pPr>
        <w:spacing w:after="120" w:line="312"/>
        <w:ind w:firstLine="480"/>
        <w:jc w:val="both"/>
      </w:pPr>
      <w:r>
        <w:rPr>
          <w:rFonts w:ascii="Calibri" w:eastAsia="Calibri"/>
          <w:color w:val="182030"/>
          <w:sz w:val="22"/>
          <w:szCs w:val="22"/>
        </w:rPr>
        <w:t xml:space="preserve">A análise cruzada entre o Dossiê Mestre de Implantação Corporativa e a arquitetura ZAOS revela um cenário de cobertura parcial significativa: aproximadamente 60% das necessidades comerciais já possuem equivalentes cognitivos implementados. O Thompson Sampling, o QualityProxy, o Budget Guard, o GraphRAG e o A-MEM demonstram que o cérebro ZEHLA já possui uma base sólida de inteligência artificial aplicada.</w:t>
      </w:r>
    </w:p>
    <w:p>
      <w:pPr>
        <w:spacing w:after="120" w:line="312"/>
        <w:ind w:firstLine="480"/>
        <w:jc w:val="both"/>
      </w:pPr>
      <w:r>
        <w:rPr>
          <w:rFonts w:ascii="Calibri" w:eastAsia="Calibri"/>
          <w:color w:val="182030"/>
          <w:sz w:val="22"/>
          <w:szCs w:val="22"/>
        </w:rPr>
        <w:t xml:space="preserve">O gap fundamental não é cognitivo, mas orquestracional. O cérebro sabe pensar, classificar e personalizar, mas carece de uma espinha dorsal comercial — um CRM — para rastrear o ciclo de vida dos leads desde o primeiro contato até a conversão e o pós-estadia. Sem esta espinha dorsal, as interações permanecem efêmeras e o aprendizado comercial não se acumula.</w:t>
      </w:r>
    </w:p>
    <w:p>
      <w:pPr>
        <w:spacing w:after="120" w:line="312"/>
        <w:ind w:firstLine="480"/>
        <w:jc w:val="both"/>
      </w:pPr>
      <w:r>
        <w:rPr>
          <w:rFonts w:ascii="Calibri" w:eastAsia="Calibri"/>
          <w:color w:val="182030"/>
          <w:sz w:val="22"/>
          <w:szCs w:val="22"/>
        </w:rPr>
        <w:t xml:space="preserve">As oito teses de integração propostas preenchem esta lacuna de forma incremental e pragmática, alinhadas aos lotes SB25 já em uso. A prioridade imediata é dupla: o CRM Context (Tese 1) e o Motor de Follow-up (Tese 3) são os habilitadores que desbloqueiam receita no curtíssimo prazo. O Agente Revenue (Tese 2) e o Farmer IA (Tese 7) são os multiplicadores de receita de médio prazo. A conformidade LGPD (Tese 8) é o pré-requisito não negociável para operação comercial.</w:t>
      </w:r>
    </w:p>
    <w:p>
      <w:pPr>
        <w:spacing w:after="120" w:line="312"/>
        <w:ind w:firstLine="480"/>
        <w:jc w:val="both"/>
      </w:pPr>
      <w:r>
        <w:rPr>
          <w:rFonts w:ascii="Calibri" w:eastAsia="Calibri"/>
          <w:color w:val="182030"/>
          <w:sz w:val="22"/>
          <w:szCs w:val="22"/>
        </w:rPr>
        <w:t xml:space="preserve">A arquitetura ZAOS, reforçada por estas integrações comerciais, posiciona o ZEHLA SmartHotel como um sistema único no mercado brasileiro de hospedagem independente: um cérebro que não apenas atende, mas prospecta, qualifica, precifica, converte, reativa e cumpre — tudo com rastreabilidade, governança de custo e observabilidade de ponta a ponta.</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ZEHLA — Análise Cruzada Cérebro Comercial vs. ZAOS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ZEHLA — Análise Cruzada Cérebro Comercial vs. ZAOS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820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eastAsia="Calibri"/>
      <w:b/>
      <w:bCs/>
      <w:color w:val="101820"/>
      <w:sz w:val="32"/>
      <w:szCs w:val="32"/>
    </w:rPr>
  </w:style>
  <w:style w:type="paragraph" w:styleId="Heading2">
    <w:name w:val="Heading 2"/>
    <w:basedOn w:val="Normal"/>
    <w:next w:val="Normal"/>
    <w:qFormat/>
    <w:pPr>
      <w:spacing w:after="160" w:before="300" w:line="312"/>
      <w:outlineLvl w:val="1"/>
    </w:pPr>
    <w:rPr>
      <w:rFonts w:ascii="Calibri" w:eastAsia="Calibri"/>
      <w:b/>
      <w:bCs/>
      <w:color w:val="101820"/>
      <w:sz w:val="28"/>
      <w:szCs w:val="28"/>
    </w:rPr>
  </w:style>
  <w:style w:type="paragraph" w:styleId="Heading3">
    <w:name w:val="Heading 3"/>
    <w:basedOn w:val="Normal"/>
    <w:next w:val="Normal"/>
    <w:qFormat/>
    <w:pPr>
      <w:spacing w:after="120" w:before="200" w:line="312"/>
      <w:outlineLvl w:val="2"/>
    </w:pPr>
    <w:rPr>
      <w:rFonts w:ascii="Calibri" w:eastAsia="Calibri"/>
      <w:b/>
      <w:bCs/>
      <w:color w:val="1018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2026-06-01T16:04:37.550Z</dcterms:created>
  <dcterms:modified xsi:type="dcterms:W3CDTF">2026-06-01T16:04:37.550Z</dcterms:modified>
</cp:coreProperties>
</file>

<file path=docProps/custom.xml><?xml version="1.0" encoding="utf-8"?>
<Properties xmlns="http://schemas.openxmlformats.org/officeDocument/2006/custom-properties" xmlns:vt="http://schemas.openxmlformats.org/officeDocument/2006/docPropsVTypes"/>
</file>