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3B6E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AC0E4"/>
                <w:sz w:val="20"/>
                <w:szCs w:val="20"/>
              </w:rPr>
              <w:t xml:space="preserve">UniRV — Universidade de Rio Verde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8"/>
                <w:szCs w:val="38"/>
              </w:rPr>
              <w:t xml:space="preserve">CARTILHA DE EXTENSÃO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DD7F5"/>
                <w:sz w:val="28"/>
                <w:szCs w:val="28"/>
              </w:rPr>
              <w:t xml:space="preserve">Projetos que Libertam o Futuro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AC0E4"/>
                <w:sz w:val="19"/>
                <w:szCs w:val="19"/>
              </w:rPr>
              <w:t xml:space="preserve">Como criar projetos de extensão universitária alinhados a</w:t>
            </w:r>
          </w:p>
          <w:p>
            <w:pPr>
              <w:spacing w:after="3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AC0E4"/>
                <w:sz w:val="19"/>
                <w:szCs w:val="19"/>
              </w:rPr>
              <w:t xml:space="preserve">Professores: Libertar o Futuro — António Nóvoa (2023)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99BB"/>
                <w:sz w:val="17"/>
                <w:szCs w:val="17"/>
              </w:rPr>
              <w:t xml:space="preserve">Comitê de Extensão  ·  Rio Verde, Goiás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77AA"/>
                <w:sz w:val="16"/>
                <w:szCs w:val="16"/>
              </w:rPr>
              <w:t xml:space="preserve">"A transformação da educação começa mesmo com os professores." — Nóvoa, p. 134</w:t>
            </w:r>
          </w:p>
        </w:tc>
      </w:tr>
    </w:tbl>
    <w:p>
      <w:pPr>
        <w:spacing w:after="200" w:before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3B6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01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3B6E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Apresentação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D0E8FF"/>
                <w:sz w:val="18"/>
                <w:szCs w:val="18"/>
              </w:rPr>
              <w:t xml:space="preserve">Para que serve esta cartilha e como usá-la</w:t>
            </w:r>
          </w:p>
        </w:tc>
      </w:tr>
    </w:tbl>
    <w:p>
      <w:pPr>
        <w:spacing w:after="120" w:before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after="12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Esta cartilha foi produzida a partir de uma leitura integral de Professores: Libertar o Futuro, de António Nóvoa (Editora Diálogos Embalados, São Paulo, 2023). Ela traduz os conceitos do livro em orientações concretas para quem projeta, coordena ou avalia projetos de extensão universitária.</w:t>
      </w:r>
    </w:p>
    <w:p>
      <w:pPr>
        <w:spacing w:after="12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Nóvoa defende que a transformação da educação começa nos professores — e que essa transformação só é real quando produz mudança nas práticas, nos espaços e nos vínculos. A extensão universitária é um dos lugares mais férteis para que isso aconteça.</w:t>
      </w:r>
    </w:p>
    <w:p>
      <w:pPr>
        <w:spacing w:after="8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Como usar esta cartilha</w:t>
      </w:r>
    </w:p>
    <w:p>
      <w:pPr>
        <w:spacing w:after="12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A cartilha está organizada em quatro seções. A primeira traz uma apresentação. A segunda apresenta os 8 princípios de Nóvoa traduzidos para a linguagem da extensão. A terceira é um guia prático com perguntas-chave por fase do projeto. A quarta é uma tabela de autoavaliação rápida.</w:t>
      </w:r>
    </w:p>
    <w:p>
      <w:pPr>
        <w:spacing w:after="12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Cada princípio traz: o que Nóvoa diz no livro (com a página exata), o que isso significa para a extensão, exemplos concretos e sinais observáveis de que o princípio está sendo aplicado.</w:t>
      </w:r>
    </w:p>
    <w:p>
      <w:pPr>
        <w:spacing w:after="8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8846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/>
            </w:r>
          </w:p>
        </w:tc>
        <w:tc>
          <w:tcPr>
            <w:tcW w:type="dxa" w:w="8846"/>
            <w:tcBorders>
              <w:top w:val="single" w:color="DDDDDD" w:sz="1"/>
              <w:left w:val="none" w:color="FFFFFF" w:sz="0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Não é necessário aplicar todos os 8 princípios em um único projeto.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Um projeto forte em 3 ou 4 categorias já representa uma prática exemplar.</w:t>
            </w:r>
          </w:p>
        </w:tc>
      </w:tr>
    </w:tbl>
    <w:p>
      <w:pPr>
        <w:spacing w:after="100" w:before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02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Os 8 Princípios de Nóvoa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D0E8FF"/>
                <w:sz w:val="18"/>
                <w:szCs w:val="18"/>
              </w:rPr>
              <w:t xml:space="preserve">Traduzidos para projetos de extensão universitária</w:t>
            </w:r>
          </w:p>
        </w:tc>
      </w:tr>
    </w:tbl>
    <w:p>
      <w:pPr>
        <w:spacing w:after="120" w:before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after="12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Os oito princípios abaixo foram extraídos diretamente dos capítulos do livro. Cada um recebeu um nome operacional para facilitar o uso no dia a dia da extensão.</w:t>
      </w:r>
    </w:p>
    <w:p>
      <w:pPr>
        <w:spacing w:after="8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"/>
        <w:gridCol w:w="6766"/>
        <w:gridCol w:w="2000"/>
      </w:tblGrid>
      <w:tr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/>
            </w:r>
          </w:p>
        </w:tc>
        <w:tc>
          <w:tcPr>
            <w:tcW w:type="dxa" w:w="6766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9E75"/>
                <w:sz w:val="18"/>
                <w:szCs w:val="18"/>
              </w:rPr>
              <w:t xml:space="preserve">Categoria 1  ·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Território e Comunidade</w:t>
            </w:r>
          </w:p>
        </w:tc>
        <w:tc>
          <w:tcPr>
            <w:tcW w:type="dxa" w:w="20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pp. 34, 57, 101</w:t>
            </w:r>
          </w:p>
        </w:tc>
      </w:tr>
    </w:tbl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D9E75"/>
          <w:sz w:val="22"/>
          <w:szCs w:val="22"/>
        </w:rPr>
        <w:t xml:space="preserve">O que Nóvoa diz:</w:t>
      </w:r>
    </w:p>
    <w:p>
      <w:pPr>
        <w:spacing w:after="12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Nóvoa usa o conceito de Ivan Illich de convivialidade para descrever uma educação que sai dos muros da universidade e cria vínculos reais com o entorno. Ele chama isso de capilaridade educativa — a disseminação da aprendizagem por diferentes espaços e tempos, conectada ao território (pp. 34, 101).</w:t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D9E75"/>
          <w:sz w:val="22"/>
          <w:szCs w:val="22"/>
        </w:rPr>
        <w:t xml:space="preserve">O que isso significa para a extensão:</w:t>
      </w:r>
    </w:p>
    <w:p>
      <w:pPr>
        <w:spacing w:after="12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Um projeto de extensão tem capilaridade quando a comunidade atendida tem voz no que é feito. Não basta o projeto sair fisicamente da universidade: o vínculo real aparece quando a realidade local muda algo no projeto.</w:t>
      </w:r>
    </w:p>
    <w:p>
      <w:pPr>
        <w:spacing w:after="4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8846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/>
            </w:r>
          </w:p>
        </w:tc>
        <w:tc>
          <w:tcPr>
            <w:tcW w:type="dxa" w:w="8846"/>
            <w:tcBorders>
              <w:top w:val="single" w:color="DDDDDD" w:sz="1"/>
              <w:left w:val="none" w:color="FFFFFF" w:sz="0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"Precisamos rever o contrato social da educação e trabalhar para o reforço de um espaço público que junte a escola com outras instituições." — Nóvoa, p. 48</w:t>
            </w:r>
          </w:p>
        </w:tc>
      </w:tr>
    </w:tbl>
    <w:p>
      <w:pPr>
        <w:spacing w:after="8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13"/>
        <w:gridCol w:w="4613"/>
      </w:tblGrid>
      <w:tr>
        <w:tc>
          <w:tcPr>
            <w:tcW w:type="dxa" w:w="441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80"/>
              <w:left w:type="dxa" w:w="0"/>
              <w:bottom w:type="dxa" w:w="80"/>
              <w:right w:type="dxa" w:w="16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19"/>
                <w:szCs w:val="19"/>
              </w:rPr>
              <w:t xml:space="preserve">Exemplos concretos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Diagnóstico participativo com agricultores familiares do Cerrado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Clínica jurídica com decisões tomadas junto com a comunidade, não apenas para ela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Projeto de saúde que adapta os atendimentos à cultura local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Mapeamento de memória oral de trabalhadores rurais como material de aula</w:t>
            </w:r>
          </w:p>
        </w:tc>
        <w:tc>
          <w:tcPr>
            <w:tcW w:type="dxa" w:w="46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19"/>
                <w:szCs w:val="19"/>
              </w:rPr>
              <w:t xml:space="preserve">Sinais de que está funcionando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 comunidade já pediu ao coordenador para mudar algo no projeto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O projeto não funcionaria igual em qualquer outra cidade do Brasil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Há reuniões regulares com representantes da comunidade atendida</w:t>
            </w:r>
          </w:p>
        </w:tc>
      </w:tr>
    </w:tbl>
    <w:p>
      <w:pPr>
        <w:spacing w:after="80" w:befor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pBdr>
          <w:bottom w:val="single" w:color="1D9E75" w:sz="4"/>
        </w:pBdr>
        <w:spacing w:after="200" w:before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after="8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"/>
        <w:gridCol w:w="6766"/>
        <w:gridCol w:w="2000"/>
      </w:tblGrid>
      <w:tr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F77DD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/>
            </w:r>
          </w:p>
        </w:tc>
        <w:tc>
          <w:tcPr>
            <w:tcW w:type="dxa" w:w="6766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EED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7DD"/>
                <w:sz w:val="18"/>
                <w:szCs w:val="18"/>
              </w:rPr>
              <w:t xml:space="preserve">Categoria 2  ·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Coletivo Docente</w:t>
            </w:r>
          </w:p>
        </w:tc>
        <w:tc>
          <w:tcPr>
            <w:tcW w:type="dxa" w:w="20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EED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pp. 69–70</w:t>
            </w:r>
          </w:p>
        </w:tc>
      </w:tr>
    </w:tbl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7F77DD"/>
          <w:sz w:val="22"/>
          <w:szCs w:val="22"/>
        </w:rPr>
        <w:t xml:space="preserve">O que Nóvoa diz:</w:t>
      </w:r>
    </w:p>
    <w:p>
      <w:pPr>
        <w:spacing w:after="12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Nóvoa descreve comunidades de conhecimento organizadas por professores como a forma mais legítima de inovação pedagógica. Não são cursos externos: são grupos de docentes que se reúnem para analisar suas práticas e construir saber conjunto. "O que mudou em mim são os outros", cita ele de Barthes (p. 69).</w:t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7F77DD"/>
          <w:sz w:val="22"/>
          <w:szCs w:val="22"/>
        </w:rPr>
        <w:t xml:space="preserve">O que isso significa para a extensão:</w:t>
      </w:r>
    </w:p>
    <w:p>
      <w:pPr>
        <w:spacing w:after="12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Um projeto tem coletivo docente quando os professores envolvidos se reúnem para além da logística — quando há conversa sobre o que funcionou pedagogicamente, e quando alguém muda sua forma de ensinar por influência de um colega do projeto.</w:t>
      </w:r>
    </w:p>
    <w:p>
      <w:pPr>
        <w:spacing w:after="4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8846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F77DD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/>
            </w:r>
          </w:p>
        </w:tc>
        <w:tc>
          <w:tcPr>
            <w:tcW w:type="dxa" w:w="8846"/>
            <w:tcBorders>
              <w:top w:val="single" w:color="DDDDDD" w:sz="1"/>
              <w:left w:val="none" w:color="FFFFFF" w:sz="0"/>
              <w:bottom w:val="single" w:color="DDDDDD" w:sz="1"/>
              <w:right w:val="single" w:color="DDDDDD" w:sz="1"/>
            </w:tcBorders>
            <w:shd w:fill="EEED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"A passagem de uma identidade individual a uma constituição coletiva é essencial para a emergência de um conhecimento profissional docente." — Nóvoa, p. 70</w:t>
            </w:r>
          </w:p>
        </w:tc>
      </w:tr>
    </w:tbl>
    <w:p>
      <w:pPr>
        <w:spacing w:after="8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13"/>
        <w:gridCol w:w="4613"/>
      </w:tblGrid>
      <w:tr>
        <w:tc>
          <w:tcPr>
            <w:tcW w:type="dxa" w:w="441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80"/>
              <w:left w:type="dxa" w:w="0"/>
              <w:bottom w:type="dxa" w:w="80"/>
              <w:right w:type="dxa" w:w="16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77DD"/>
                <w:sz w:val="19"/>
                <w:szCs w:val="19"/>
              </w:rPr>
              <w:t xml:space="preserve">Exemplos concretos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Reuniões mensais de equipe com pauta pedagógica (não só operacional)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Registro coletivo de situações-problema e soluções encontradas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Professores de cursos diferentes que codesenvolvem atividades integradas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Grupo de leitura sobre a área temática do projeto</w:t>
            </w:r>
          </w:p>
        </w:tc>
        <w:tc>
          <w:tcPr>
            <w:tcW w:type="dxa" w:w="46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77DD"/>
                <w:sz w:val="19"/>
                <w:szCs w:val="19"/>
              </w:rPr>
              <w:t xml:space="preserve">Sinais de que está funcionando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Os professores do projeto conversam sobre o que aprenderam, não só sobre o que fizeram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Alguém mudou sua aula regular por causa do que viu no projeto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Há mais de um professor com participação ativa (não só assinatura)</w:t>
            </w:r>
          </w:p>
        </w:tc>
      </w:tr>
    </w:tbl>
    <w:p>
      <w:pPr>
        <w:spacing w:after="80" w:befor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pBdr>
          <w:bottom w:val="single" w:color="7F77DD" w:sz="4"/>
        </w:pBdr>
        <w:spacing w:after="200" w:before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after="8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"/>
        <w:gridCol w:w="6766"/>
        <w:gridCol w:w="2000"/>
      </w:tblGrid>
      <w:tr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537E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/>
            </w:r>
          </w:p>
        </w:tc>
        <w:tc>
          <w:tcPr>
            <w:tcW w:type="dxa" w:w="6766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BEA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4537E"/>
                <w:sz w:val="18"/>
                <w:szCs w:val="18"/>
              </w:rPr>
              <w:t xml:space="preserve">Categoria 3  ·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Indução Profissional</w:t>
            </w:r>
          </w:p>
        </w:tc>
        <w:tc>
          <w:tcPr>
            <w:tcW w:type="dxa" w:w="20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BEA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pp. 81–84</w:t>
            </w:r>
          </w:p>
        </w:tc>
      </w:tr>
    </w:tbl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D4537E"/>
          <w:sz w:val="22"/>
          <w:szCs w:val="22"/>
        </w:rPr>
        <w:t xml:space="preserve">O que Nóvoa diz:</w:t>
      </w:r>
    </w:p>
    <w:p>
      <w:pPr>
        <w:spacing w:after="12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O capítulo 7 é dedicado a um tema que Nóvoa considera urgente: os primeiros anos de docência. "Os primeiros anos são os mais decisivos na vida profissional docente" (p. 81). Ele critica o silêncio das instituições que deixam professores iniciantes à própria sorte.</w:t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D4537E"/>
          <w:sz w:val="22"/>
          <w:szCs w:val="22"/>
        </w:rPr>
        <w:t xml:space="preserve">O que isso significa para a extensão:</w:t>
      </w:r>
    </w:p>
    <w:p>
      <w:pPr>
        <w:spacing w:after="12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Projetos de extensão podem funcionar como espaços de indução — especialmente quando envolvem professores recém-contratados sob orientação de experientes, ou quando estudantes de últimas fases acompanham calouros em situações reais.</w:t>
      </w:r>
    </w:p>
    <w:p>
      <w:pPr>
        <w:spacing w:after="4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8846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537E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/>
            </w:r>
          </w:p>
        </w:tc>
        <w:tc>
          <w:tcPr>
            <w:tcW w:type="dxa" w:w="8846"/>
            <w:tcBorders>
              <w:top w:val="single" w:color="DDDDDD" w:sz="1"/>
              <w:left w:val="none" w:color="FFFFFF" w:sz="0"/>
              <w:bottom w:val="single" w:color="DDDDDD" w:sz="1"/>
              <w:right w:val="single" w:color="DDDDDD" w:sz="1"/>
            </w:tcBorders>
            <w:shd w:fill="FBEA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"A profissão docente não terá futuro se não cuidar melhor dos seus professores mais jovens." — Nóvoa, p. 82</w:t>
            </w:r>
          </w:p>
        </w:tc>
      </w:tr>
    </w:tbl>
    <w:p>
      <w:pPr>
        <w:spacing w:after="8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13"/>
        <w:gridCol w:w="4613"/>
      </w:tblGrid>
      <w:tr>
        <w:tc>
          <w:tcPr>
            <w:tcW w:type="dxa" w:w="441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80"/>
              <w:left w:type="dxa" w:w="0"/>
              <w:bottom w:type="dxa" w:w="80"/>
              <w:right w:type="dxa" w:w="16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537E"/>
                <w:sz w:val="19"/>
                <w:szCs w:val="19"/>
              </w:rPr>
              <w:t xml:space="preserve">Exemplos concretos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Professor veterano que acompanha professor iniciante ao longo de um semestre de projeto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Estudantes de 7.º período que orientam calouros em atividades de campo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Residência docente informal dentro do projeto de extensão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Grupo de novos professores que reflete mensalmente sobre sua prática no projeto</w:t>
            </w:r>
          </w:p>
        </w:tc>
        <w:tc>
          <w:tcPr>
            <w:tcW w:type="dxa" w:w="46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537E"/>
                <w:sz w:val="19"/>
                <w:szCs w:val="19"/>
              </w:rPr>
              <w:t xml:space="preserve">Sinais de que está funcionando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Há um professor iniciante na equipe com acompanhamento intencional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O projeto prevê momentos de orientação entre pares mais e menos experientes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Estudantes veteranos assumem responsabilidades de orientação dentro do projeto</w:t>
            </w:r>
          </w:p>
        </w:tc>
      </w:tr>
    </w:tbl>
    <w:p>
      <w:pPr>
        <w:spacing w:after="80" w:befor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pBdr>
          <w:bottom w:val="single" w:color="D4537E" w:sz="4"/>
        </w:pBdr>
        <w:spacing w:after="200" w:before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after="8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"/>
        <w:gridCol w:w="6766"/>
        <w:gridCol w:w="2000"/>
      </w:tblGrid>
      <w:tr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5A30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/>
            </w:r>
          </w:p>
        </w:tc>
        <w:tc>
          <w:tcPr>
            <w:tcW w:type="dxa" w:w="6766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AEC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85A30"/>
                <w:sz w:val="18"/>
                <w:szCs w:val="18"/>
              </w:rPr>
              <w:t xml:space="preserve">Categoria 4  ·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Aprendizagem entre Pares</w:t>
            </w:r>
          </w:p>
        </w:tc>
        <w:tc>
          <w:tcPr>
            <w:tcW w:type="dxa" w:w="20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AEC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pp. 15–17, 102</w:t>
            </w:r>
          </w:p>
        </w:tc>
      </w:tr>
    </w:tbl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D85A30"/>
          <w:sz w:val="22"/>
          <w:szCs w:val="22"/>
        </w:rPr>
        <w:t xml:space="preserve">O que Nóvoa diz:</w:t>
      </w:r>
    </w:p>
    <w:p>
      <w:pPr>
        <w:spacing w:after="12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Nóvoa defende uma pedagogia onde aprender é sempre com o outro. "Ninguém se educa sozinho. É impossível" (p. 24). O relatório UNESCO que ele coordenou afirma: o que sabemos depende do que os outros sabem e da partilha de conhecimento mútuo (p. 15).</w:t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D85A30"/>
          <w:sz w:val="22"/>
          <w:szCs w:val="22"/>
        </w:rPr>
        <w:t xml:space="preserve">O que isso significa para a extensão:</w:t>
      </w:r>
    </w:p>
    <w:p>
      <w:pPr>
        <w:spacing w:after="12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O princípio está presente quando estudantes ensinam e aprendem uns com os outros de forma intencional — não a explicação espontânea que acontece em qualquer grupo, mas quando o projeto prevê que aprender passa por ensinar.</w:t>
      </w:r>
    </w:p>
    <w:p>
      <w:pPr>
        <w:spacing w:after="4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8846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5A30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/>
            </w:r>
          </w:p>
        </w:tc>
        <w:tc>
          <w:tcPr>
            <w:tcW w:type="dxa" w:w="8846"/>
            <w:tcBorders>
              <w:top w:val="single" w:color="DDDDDD" w:sz="1"/>
              <w:left w:val="none" w:color="FFFFFF" w:sz="0"/>
              <w:bottom w:val="single" w:color="DDDDDD" w:sz="1"/>
              <w:right w:val="single" w:color="DDDDDD" w:sz="1"/>
            </w:tcBorders>
            <w:shd w:fill="FAE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"A cooperação é a chave da educação na contemporaneidade. Precisamos dos outros para chegarmos a Camões, a Einstein, a Picasso." — Nóvoa, p. 27</w:t>
            </w:r>
          </w:p>
        </w:tc>
      </w:tr>
    </w:tbl>
    <w:p>
      <w:pPr>
        <w:spacing w:after="8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13"/>
        <w:gridCol w:w="4613"/>
      </w:tblGrid>
      <w:tr>
        <w:tc>
          <w:tcPr>
            <w:tcW w:type="dxa" w:w="441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80"/>
              <w:left w:type="dxa" w:w="0"/>
              <w:bottom w:type="dxa" w:w="80"/>
              <w:right w:type="dxa" w:w="16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85A30"/>
                <w:sz w:val="19"/>
                <w:szCs w:val="19"/>
              </w:rPr>
              <w:t xml:space="preserve">Exemplos concretos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Monitoria estruturada em que monitores têm formação prévia e acompanhamento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Seminários internos onde cada grupo apresenta para os demais antes de ir a campo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Rodas de formação com a comunidade conduzidas pelos próprios estudantes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Grupos mistos (cursos e semestres diferentes) com papéis complementares</w:t>
            </w:r>
          </w:p>
        </w:tc>
        <w:tc>
          <w:tcPr>
            <w:tcW w:type="dxa" w:w="46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85A30"/>
                <w:sz w:val="19"/>
                <w:szCs w:val="19"/>
              </w:rPr>
              <w:t xml:space="preserve">Sinais de que está funcionando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Em algum momento do projeto, um estudante explica algo a outro como parte da atividade planejada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O projeto prevê que aprender passa por ensinar (não acontece por acidente)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Os estudantes produzem material educativo para outros estudantes ou para a comunidade</w:t>
            </w:r>
          </w:p>
        </w:tc>
      </w:tr>
    </w:tbl>
    <w:p>
      <w:pPr>
        <w:spacing w:after="80" w:befor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pBdr>
          <w:bottom w:val="single" w:color="D85A30" w:sz="4"/>
        </w:pBdr>
        <w:spacing w:after="200" w:before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after="8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"/>
        <w:gridCol w:w="6766"/>
        <w:gridCol w:w="2000"/>
      </w:tblGrid>
      <w:tr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/>
            </w:r>
          </w:p>
        </w:tc>
        <w:tc>
          <w:tcPr>
            <w:tcW w:type="dxa" w:w="6766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6F1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18"/>
                <w:szCs w:val="18"/>
              </w:rPr>
              <w:t xml:space="preserve">Categoria 5  ·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Historicização do Saber</w:t>
            </w:r>
          </w:p>
        </w:tc>
        <w:tc>
          <w:tcPr>
            <w:tcW w:type="dxa" w:w="20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6F1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p. 106</w:t>
            </w:r>
          </w:p>
        </w:tc>
      </w:tr>
    </w:tbl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2"/>
          <w:szCs w:val="22"/>
        </w:rPr>
        <w:t xml:space="preserve">O que Nóvoa diz:</w:t>
      </w:r>
    </w:p>
    <w:p>
      <w:pPr>
        <w:spacing w:after="12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Citando Neil Postman, Nóvoa defende que devemos ser capazes de ensinar todas as disciplinas como se fossem história — dar origem e evolução ao conhecimento. "A compreensão das origens é fundamental para que os alunos se apropriem das matérias que ensinamos" (p. 106).</w:t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2"/>
          <w:szCs w:val="22"/>
        </w:rPr>
        <w:t xml:space="preserve">O que isso significa para a extensão:</w:t>
      </w:r>
    </w:p>
    <w:p>
      <w:pPr>
        <w:spacing w:after="12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O princípio está presente quando o conteúdo acadêmico não poderia ser aplicado do mesmo jeito em qualquer cidade do Brasil — quando a realidade local (história do Cerrado, do agronegócio goiano, das famílias atendidas) serve de âncora para o conhecimento.</w:t>
      </w:r>
    </w:p>
    <w:p>
      <w:pPr>
        <w:spacing w:after="4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8846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/>
            </w:r>
          </w:p>
        </w:tc>
        <w:tc>
          <w:tcPr>
            <w:tcW w:type="dxa" w:w="8846"/>
            <w:tcBorders>
              <w:top w:val="single" w:color="DDDDDD" w:sz="1"/>
              <w:left w:val="none" w:color="FFFFFF" w:sz="0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"Deveríamos ser capazes de ensinar todas as disciplinas como se fossem história [...] A compreensão das origens dos conhecimentos é fundamental." — Nóvoa, p. 106</w:t>
            </w:r>
          </w:p>
        </w:tc>
      </w:tr>
    </w:tbl>
    <w:p>
      <w:pPr>
        <w:spacing w:after="8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13"/>
        <w:gridCol w:w="4613"/>
      </w:tblGrid>
      <w:tr>
        <w:tc>
          <w:tcPr>
            <w:tcW w:type="dxa" w:w="441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80"/>
              <w:left w:type="dxa" w:w="0"/>
              <w:bottom w:type="dxa" w:w="80"/>
              <w:right w:type="dxa" w:w="16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9"/>
                <w:szCs w:val="19"/>
              </w:rPr>
              <w:t xml:space="preserve">Exemplos concretos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Uso de dados históricos do município de Rio Verde como base de análise econômica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Mapeamento de espécies nativas do Cerrado como material de ensino de botânica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Projetos que registram memória oral de trabalhadores rurais ou comunidades quilombolas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Disciplinas que partem de um problema real local para chegar ao conceito universal</w:t>
            </w:r>
          </w:p>
        </w:tc>
        <w:tc>
          <w:tcPr>
            <w:tcW w:type="dxa" w:w="46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9"/>
                <w:szCs w:val="19"/>
              </w:rPr>
              <w:t xml:space="preserve">Sinais de que está funcionando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O projeto usa alguma fonte local como material de trabalho (não só bibliografia internacional)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O conteúdo acadêmico precisou ser adaptado por causa da realidade local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Estudantes saem do projeto sabendo algo específico sobre Rio Verde ou o Sudoeste Goiano</w:t>
            </w:r>
          </w:p>
        </w:tc>
      </w:tr>
    </w:tbl>
    <w:p>
      <w:pPr>
        <w:spacing w:after="80" w:befor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pBdr>
          <w:bottom w:val="single" w:color="185FA5" w:sz="4"/>
        </w:pBdr>
        <w:spacing w:after="200" w:before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after="8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"/>
        <w:gridCol w:w="6766"/>
        <w:gridCol w:w="2000"/>
      </w:tblGrid>
      <w:tr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A7517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/>
            </w:r>
          </w:p>
        </w:tc>
        <w:tc>
          <w:tcPr>
            <w:tcW w:type="dxa" w:w="6766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AEED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A7517"/>
                <w:sz w:val="18"/>
                <w:szCs w:val="18"/>
              </w:rPr>
              <w:t xml:space="preserve">Categoria 6  ·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Dimensão Intergeracional</w:t>
            </w:r>
          </w:p>
        </w:tc>
        <w:tc>
          <w:tcPr>
            <w:tcW w:type="dxa" w:w="20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AEED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pp. 36, 58</w:t>
            </w:r>
          </w:p>
        </w:tc>
      </w:tr>
    </w:tbl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BA7517"/>
          <w:sz w:val="22"/>
          <w:szCs w:val="22"/>
        </w:rPr>
        <w:t xml:space="preserve">O que Nóvoa diz:</w:t>
      </w:r>
    </w:p>
    <w:p>
      <w:pPr>
        <w:spacing w:after="12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Com a expectativa de vida chegando a 100 anos, Nóvoa defende que a educação precisa pensar em múltiplas gerações convivendo. "Daqui a trinta anos, tudo acontecerá entre cinco gerações. Alguém consegue imaginar mudança mais profunda para a educação?" (p. 36).</w:t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BA7517"/>
          <w:sz w:val="22"/>
          <w:szCs w:val="22"/>
        </w:rPr>
        <w:t xml:space="preserve">O que isso significa para a extensão:</w:t>
      </w:r>
    </w:p>
    <w:p>
      <w:pPr>
        <w:spacing w:after="12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O princípio aparece quando o projeto conecta pessoas de diferentes gerações em troca genuína — não como público passivo, mas como agentes. Idosos que ensinam práticas tradicionais, jovens que ensinam tecnologia, profissionais experientes que trazem saber para dentro da universidade.</w:t>
      </w:r>
    </w:p>
    <w:p>
      <w:pPr>
        <w:spacing w:after="4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8846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A7517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/>
            </w:r>
          </w:p>
        </w:tc>
        <w:tc>
          <w:tcPr>
            <w:tcW w:type="dxa" w:w="8846"/>
            <w:tcBorders>
              <w:top w:val="single" w:color="DDDDDD" w:sz="1"/>
              <w:left w:val="none" w:color="FFFFFF" w:sz="0"/>
              <w:bottom w:val="single" w:color="DDDDDD" w:sz="1"/>
              <w:right w:val="single" w:color="DDDDDD" w:sz="1"/>
            </w:tcBorders>
            <w:shd w:fill="FAEE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"A dimensão do cuidar entre gerações passa a ser um elemento central dos futuros da educação." — Nóvoa, p. 58</w:t>
            </w:r>
          </w:p>
        </w:tc>
      </w:tr>
    </w:tbl>
    <w:p>
      <w:pPr>
        <w:spacing w:after="8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13"/>
        <w:gridCol w:w="4613"/>
      </w:tblGrid>
      <w:tr>
        <w:tc>
          <w:tcPr>
            <w:tcW w:type="dxa" w:w="441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80"/>
              <w:left w:type="dxa" w:w="0"/>
              <w:bottom w:type="dxa" w:w="80"/>
              <w:right w:type="dxa" w:w="16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7517"/>
                <w:sz w:val="19"/>
                <w:szCs w:val="19"/>
              </w:rPr>
              <w:t xml:space="preserve">Exemplos concretos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Projeto de saúde do idoso onde os próprios idosos ensinam práticas de autocuidado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Ações de alfabetização digital com troca real entre universitários e adultos mais velhos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Professores aposentados da comunidade participando de formação de estudantes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Agricultores experientes ensinando técnicas tradicionais a estudantes de agronomia</w:t>
            </w:r>
          </w:p>
        </w:tc>
        <w:tc>
          <w:tcPr>
            <w:tcW w:type="dxa" w:w="46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7517"/>
                <w:sz w:val="19"/>
                <w:szCs w:val="19"/>
              </w:rPr>
              <w:t xml:space="preserve">Sinais de que está funcionando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Há pessoas com mais de 55 anos participando ativamente (não só como público)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O projeto cria situações em que gerações diferentes precisam uma da outra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Há troca de saber em ambas as direções (jovens e velhos aprendem mutuamente)</w:t>
            </w:r>
          </w:p>
        </w:tc>
      </w:tr>
    </w:tbl>
    <w:p>
      <w:pPr>
        <w:spacing w:after="80" w:befor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pBdr>
          <w:bottom w:val="single" w:color="BA7517" w:sz="4"/>
        </w:pBdr>
        <w:spacing w:after="200" w:before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after="8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"/>
        <w:gridCol w:w="6766"/>
        <w:gridCol w:w="2000"/>
      </w:tblGrid>
      <w:tr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9922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/>
            </w:r>
          </w:p>
        </w:tc>
        <w:tc>
          <w:tcPr>
            <w:tcW w:type="dxa" w:w="6766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AF3D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39922"/>
                <w:sz w:val="18"/>
                <w:szCs w:val="18"/>
              </w:rPr>
              <w:t xml:space="preserve">Categoria 7  ·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Publicação Docente</w:t>
            </w:r>
          </w:p>
        </w:tc>
        <w:tc>
          <w:tcPr>
            <w:tcW w:type="dxa" w:w="20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AF3D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pp. 71–72</w:t>
            </w:r>
          </w:p>
        </w:tc>
      </w:tr>
    </w:tbl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39922"/>
          <w:sz w:val="22"/>
          <w:szCs w:val="22"/>
        </w:rPr>
        <w:t xml:space="preserve">O que Nóvoa diz:</w:t>
      </w:r>
    </w:p>
    <w:p>
      <w:pPr>
        <w:spacing w:after="12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Nóvoa é direto: "uma profissão que não se escreve não se inscreve do ponto de vista social" (p. 72). Publicar não é privilégio acadêmico — é responsabilidade profissional. "Em língua portuguesa, publicar tem um duplo sentido: editar e tornar público." (p. 72)</w:t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39922"/>
          <w:sz w:val="22"/>
          <w:szCs w:val="22"/>
        </w:rPr>
        <w:t xml:space="preserve">O que isso significa para a extensão:</w:t>
      </w:r>
    </w:p>
    <w:p>
      <w:pPr>
        <w:spacing w:after="12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O projeto tem publicação docente quando gera algum texto assinado por professor que foi além do relatório obrigatório. O relatório de prestação de contas não conta — é obrigação burocrática. Conta o texto que o professor escreveu porque queria registrar e compartilhar o que aprendeu.</w:t>
      </w:r>
    </w:p>
    <w:p>
      <w:pPr>
        <w:spacing w:after="4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8846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9922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/>
            </w:r>
          </w:p>
        </w:tc>
        <w:tc>
          <w:tcPr>
            <w:tcW w:type="dxa" w:w="8846"/>
            <w:tcBorders>
              <w:top w:val="single" w:color="DDDDDD" w:sz="1"/>
              <w:left w:val="none" w:color="FFFFFF" w:sz="0"/>
              <w:bottom w:val="single" w:color="DDDDDD" w:sz="1"/>
              <w:right w:val="single" w:color="DDDDDD" w:sz="1"/>
            </w:tcBorders>
            <w:shd w:fill="EAF3D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"É preciso que os professores tenham a possibilidade e a coragem de escrever e de publicar. Vale a pena uma vida sem risco?" — Nóvoa, p. 71</w:t>
            </w:r>
          </w:p>
        </w:tc>
      </w:tr>
    </w:tbl>
    <w:p>
      <w:pPr>
        <w:spacing w:after="8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13"/>
        <w:gridCol w:w="4613"/>
      </w:tblGrid>
      <w:tr>
        <w:tc>
          <w:tcPr>
            <w:tcW w:type="dxa" w:w="441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80"/>
              <w:left w:type="dxa" w:w="0"/>
              <w:bottom w:type="dxa" w:w="80"/>
              <w:right w:type="dxa" w:w="16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9922"/>
                <w:sz w:val="19"/>
                <w:szCs w:val="19"/>
              </w:rPr>
              <w:t xml:space="preserve">Exemplos concretos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Relato de experiência submetido a evento ou revista de extensão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Artigo em revista de ensino descrevendo a metodologia desenvolvida no projeto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Caderno de extensão ou material didático aberto assinado pelos docentes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Post institucional com autoria identificada descrevendo o aprendizado do projeto</w:t>
            </w:r>
          </w:p>
        </w:tc>
        <w:tc>
          <w:tcPr>
            <w:tcW w:type="dxa" w:w="46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9922"/>
                <w:sz w:val="19"/>
                <w:szCs w:val="19"/>
              </w:rPr>
              <w:t xml:space="preserve">Sinais de que está funcionando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O projeto gerou algum texto público além do relatório obrigatório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O coordenador consegue nomear algo concreto que aprendeu com o projeto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Há disposição para submeter relatos a revistas de extensão ou ensino</w:t>
            </w:r>
          </w:p>
        </w:tc>
      </w:tr>
    </w:tbl>
    <w:p>
      <w:pPr>
        <w:spacing w:after="80" w:befor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pBdr>
          <w:bottom w:val="single" w:color="639922" w:sz="4"/>
        </w:pBdr>
        <w:spacing w:after="200" w:before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after="8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"/>
        <w:gridCol w:w="6766"/>
        <w:gridCol w:w="2000"/>
      </w:tblGrid>
      <w:tr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F5E5A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/>
            </w:r>
          </w:p>
        </w:tc>
        <w:tc>
          <w:tcPr>
            <w:tcW w:type="dxa" w:w="6766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Categoria 8  ·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Novos Espaços de Aprendizagem</w:t>
            </w:r>
          </w:p>
        </w:tc>
        <w:tc>
          <w:tcPr>
            <w:tcW w:type="dxa" w:w="20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pp. 102–103</w:t>
            </w:r>
          </w:p>
        </w:tc>
      </w:tr>
    </w:tbl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F5E5A"/>
          <w:sz w:val="22"/>
          <w:szCs w:val="22"/>
        </w:rPr>
        <w:t xml:space="preserve">O que Nóvoa diz:</w:t>
      </w:r>
    </w:p>
    <w:p>
      <w:pPr>
        <w:spacing w:after="12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Nóvoa critica o modelo escolar organizado em salas de aula fechadas e propõe ambientes abertos, adaptáveis e flexíveis. Usa as metáforas do laboratório (trabalha-se em conjunto, resolve-se problemas) e do ateliê (dá-se asas à expressão, cria-se) (p. 103).</w:t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F5E5A"/>
          <w:sz w:val="22"/>
          <w:szCs w:val="22"/>
        </w:rPr>
        <w:t xml:space="preserve">O que isso significa para a extensão:</w:t>
      </w:r>
    </w:p>
    <w:p>
      <w:pPr>
        <w:spacing w:after="12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O sinal que importa não é o projeto acontecer fora da sala de aula, mas se o espaço muda o que é possível aprender. O projeto tem novos espaços quando o ambiente exige dos estudantes algo que a sala não exigiria: improvisar, tomar decisão com consequência real, colaborar em tempo real com variáveis não controladas.</w:t>
      </w:r>
    </w:p>
    <w:p>
      <w:pPr>
        <w:spacing w:after="4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8846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F5E5A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/>
            </w:r>
          </w:p>
        </w:tc>
        <w:tc>
          <w:tcPr>
            <w:tcW w:type="dxa" w:w="8846"/>
            <w:tcBorders>
              <w:top w:val="single" w:color="DDDDDD" w:sz="1"/>
              <w:left w:val="none" w:color="FFFFFF" w:sz="0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"A metáfora do laboratório e do atelier podem ajudar-nos a definir os novos ambientes escolares." — Nóvoa, p. 103</w:t>
            </w:r>
          </w:p>
        </w:tc>
      </w:tr>
    </w:tbl>
    <w:p>
      <w:pPr>
        <w:spacing w:after="8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13"/>
        <w:gridCol w:w="4613"/>
      </w:tblGrid>
      <w:tr>
        <w:tc>
          <w:tcPr>
            <w:tcW w:type="dxa" w:w="441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80"/>
              <w:left w:type="dxa" w:w="0"/>
              <w:bottom w:type="dxa" w:w="80"/>
              <w:right w:type="dxa" w:w="16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>Exemplos concretos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Laboratório vivo a campo onde os estudantes coletam dados reais e precisam decidir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Atelier de design social onde os estudantes criam soluções para problemas reais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Clínica-escola com atendimento real em que o erro tem consequência e precisa ser gerenciado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Horta universitária como espaço de aprendizagem interdisciplinar permanente</w:t>
            </w:r>
          </w:p>
        </w:tc>
        <w:tc>
          <w:tcPr>
            <w:tcW w:type="dxa" w:w="46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>Sinais de que está funcionando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O projeto acontece em espaço que a sala de aula não poderia reproduzir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Os estudantes tomam decisões com consequência real (não simulada) durante o projeto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O espaço exige dos estudantes algo diferente da lógica 'professor fala, aluno ouve'</w:t>
            </w:r>
          </w:p>
        </w:tc>
      </w:tr>
    </w:tbl>
    <w:p>
      <w:pPr>
        <w:spacing w:after="80" w:befor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pBdr>
          <w:bottom w:val="single" w:color="5F5E5A" w:sz="4"/>
        </w:pBdr>
        <w:spacing w:after="200" w:before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after="8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03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Guia Prático por Fase do Projeto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D0E8FF"/>
                <w:sz w:val="18"/>
                <w:szCs w:val="18"/>
              </w:rPr>
              <w:t xml:space="preserve">Perguntas para concepção, execução e avaliação</w:t>
            </w:r>
          </w:p>
        </w:tc>
      </w:tr>
    </w:tbl>
    <w:p>
      <w:pPr>
        <w:spacing w:after="120" w:before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after="12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Use estas perguntas nas três fases de vida de um projeto de extensão. Elas não são uma lista de exigências — são provocações para que cada projeto identifique onde está forte e onde tem potencial de crescer.</w:t>
      </w:r>
    </w:p>
    <w:p>
      <w:pPr>
        <w:spacing w:after="8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i w:val="false"/>
          <w:iCs w:val="false"/>
          <w:color w:val="0D3B6E"/>
          <w:sz w:val="25"/>
          <w:szCs w:val="25"/>
        </w:rPr>
        <w:t xml:space="preserve">Fase 1 — Concepção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9"/>
          <w:szCs w:val="19"/>
        </w:rPr>
        <w:t xml:space="preserve">Antes de submeter o projeto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8846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/>
            </w:r>
          </w:p>
        </w:tc>
        <w:tc>
          <w:tcPr>
            <w:tcW w:type="dxa" w:w="8846"/>
            <w:tcBorders>
              <w:top w:val="single" w:color="DDDDDD" w:sz="1"/>
              <w:left w:val="none" w:color="FFFFFF" w:sz="0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20"/>
                <w:szCs w:val="20"/>
              </w:rPr>
              <w:t xml:space="preserve">Território: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 comunidade que será atendida participou de alguma forma do diagnóstico do problema? Há alguém de fora da universidade que validou a proposta?</w:t>
            </w:r>
          </w:p>
        </w:tc>
      </w:tr>
    </w:tbl>
    <w:p>
      <w:pPr>
        <w:spacing w:after="4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8846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F77DD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/>
            </w:r>
          </w:p>
        </w:tc>
        <w:tc>
          <w:tcPr>
            <w:tcW w:type="dxa" w:w="8846"/>
            <w:tcBorders>
              <w:top w:val="single" w:color="DDDDDD" w:sz="1"/>
              <w:left w:val="none" w:color="FFFFFF" w:sz="0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77DD"/>
                <w:sz w:val="20"/>
                <w:szCs w:val="20"/>
              </w:rPr>
              <w:t xml:space="preserve">Coletivo: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Mais de um professor está envolvido com participação real? Há espaço previsto para reflexão conjunta entre a equipe docente?</w:t>
            </w:r>
          </w:p>
        </w:tc>
      </w:tr>
    </w:tbl>
    <w:p>
      <w:pPr>
        <w:spacing w:after="4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8846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/>
            </w:r>
          </w:p>
        </w:tc>
        <w:tc>
          <w:tcPr>
            <w:tcW w:type="dxa" w:w="8846"/>
            <w:tcBorders>
              <w:top w:val="single" w:color="DDDDDD" w:sz="1"/>
              <w:left w:val="none" w:color="FFFFFF" w:sz="0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0"/>
                <w:szCs w:val="20"/>
              </w:rPr>
              <w:t xml:space="preserve">Historicização: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O contexto local (história, cultura, realidade de Rio Verde e do Sudoeste Goiano) entra como material de trabalho, não só como cenário?</w:t>
            </w:r>
          </w:p>
        </w:tc>
      </w:tr>
    </w:tbl>
    <w:p>
      <w:pPr>
        <w:spacing w:after="4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8846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5A30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/>
            </w:r>
          </w:p>
        </w:tc>
        <w:tc>
          <w:tcPr>
            <w:tcW w:type="dxa" w:w="8846"/>
            <w:tcBorders>
              <w:top w:val="single" w:color="DDDDDD" w:sz="1"/>
              <w:left w:val="none" w:color="FFFFFF" w:sz="0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85A30"/>
                <w:sz w:val="20"/>
                <w:szCs w:val="20"/>
              </w:rPr>
              <w:t xml:space="preserve">Pares: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Em algum momento os estudantes ensinam — a outros estudantes ou à comunidade? Isso está previsto no plano de atividades?</w:t>
            </w:r>
          </w:p>
        </w:tc>
      </w:tr>
    </w:tbl>
    <w:p>
      <w:pPr>
        <w:spacing w:after="4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8846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F5E5A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/>
            </w:r>
          </w:p>
        </w:tc>
        <w:tc>
          <w:tcPr>
            <w:tcW w:type="dxa" w:w="8846"/>
            <w:tcBorders>
              <w:top w:val="single" w:color="DDDDDD" w:sz="1"/>
              <w:left w:val="none" w:color="FFFFFF" w:sz="0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20"/>
                <w:szCs w:val="20"/>
              </w:rPr>
              <w:t xml:space="preserve">Espaços: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O espaço escolhido para as atividades exige dos estudantes algo que a sala de aula não exigiria? O ambiente muda o que é possível aprender?</w:t>
            </w:r>
          </w:p>
        </w:tc>
      </w:tr>
    </w:tbl>
    <w:p>
      <w:pPr>
        <w:spacing w:after="4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after="8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i w:val="false"/>
          <w:iCs w:val="false"/>
          <w:color w:val="1D9E75"/>
          <w:sz w:val="25"/>
          <w:szCs w:val="25"/>
        </w:rPr>
        <w:t xml:space="preserve">Fase 2 — Execução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9"/>
          <w:szCs w:val="19"/>
        </w:rPr>
        <w:t xml:space="preserve">Durante o desenvolvimento do projeto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8846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F77DD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/>
            </w:r>
          </w:p>
        </w:tc>
        <w:tc>
          <w:tcPr>
            <w:tcW w:type="dxa" w:w="8846"/>
            <w:tcBorders>
              <w:top w:val="single" w:color="DDDDDD" w:sz="1"/>
              <w:left w:val="none" w:color="FFFFFF" w:sz="0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77DD"/>
                <w:sz w:val="20"/>
                <w:szCs w:val="20"/>
              </w:rPr>
              <w:t xml:space="preserve">Coletivo: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Os professores da equipe têm encontros com pauta pedagógica (não só operacional)? Alguém está mudando sua forma de ensinar por causa do projeto?</w:t>
            </w:r>
          </w:p>
        </w:tc>
      </w:tr>
    </w:tbl>
    <w:p>
      <w:pPr>
        <w:spacing w:after="4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8846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537E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/>
            </w:r>
          </w:p>
        </w:tc>
        <w:tc>
          <w:tcPr>
            <w:tcW w:type="dxa" w:w="8846"/>
            <w:tcBorders>
              <w:top w:val="single" w:color="DDDDDD" w:sz="1"/>
              <w:left w:val="none" w:color="FFFFFF" w:sz="0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537E"/>
                <w:sz w:val="20"/>
                <w:szCs w:val="20"/>
              </w:rPr>
              <w:t xml:space="preserve">Indução: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Há professores iniciantes ou estudantes em primeiros semestres sendo acompanhados intencionalmente por alguém mais experiente?</w:t>
            </w:r>
          </w:p>
        </w:tc>
      </w:tr>
    </w:tbl>
    <w:p>
      <w:pPr>
        <w:spacing w:after="4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8846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/>
            </w:r>
          </w:p>
        </w:tc>
        <w:tc>
          <w:tcPr>
            <w:tcW w:type="dxa" w:w="8846"/>
            <w:tcBorders>
              <w:top w:val="single" w:color="DDDDDD" w:sz="1"/>
              <w:left w:val="none" w:color="FFFFFF" w:sz="0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20"/>
                <w:szCs w:val="20"/>
              </w:rPr>
              <w:t xml:space="preserve">Território: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 comunidade atendida tem voz para pedir mudanças? Algo no projeto já foi alterado por causa do que a comunidade trouxe?</w:t>
            </w:r>
          </w:p>
        </w:tc>
      </w:tr>
    </w:tbl>
    <w:p>
      <w:pPr>
        <w:spacing w:after="4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8846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A7517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/>
            </w:r>
          </w:p>
        </w:tc>
        <w:tc>
          <w:tcPr>
            <w:tcW w:type="dxa" w:w="8846"/>
            <w:tcBorders>
              <w:top w:val="single" w:color="DDDDDD" w:sz="1"/>
              <w:left w:val="none" w:color="FFFFFF" w:sz="0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7517"/>
                <w:sz w:val="20"/>
                <w:szCs w:val="20"/>
              </w:rPr>
              <w:t xml:space="preserve">Intergeracional: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Pessoas de diferentes gerações estão se encontrando no projeto? Há troca de saber em ambas as direções?</w:t>
            </w:r>
          </w:p>
        </w:tc>
      </w:tr>
    </w:tbl>
    <w:p>
      <w:pPr>
        <w:spacing w:after="4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8846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5A30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/>
            </w:r>
          </w:p>
        </w:tc>
        <w:tc>
          <w:tcPr>
            <w:tcW w:type="dxa" w:w="8846"/>
            <w:tcBorders>
              <w:top w:val="single" w:color="DDDDDD" w:sz="1"/>
              <w:left w:val="none" w:color="FFFFFF" w:sz="0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85A30"/>
                <w:sz w:val="20"/>
                <w:szCs w:val="20"/>
              </w:rPr>
              <w:t xml:space="preserve">Pares: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Os estudantes têm momentos estruturados de ensino entre si? Isso está acontecendo na prática, não só no papel?</w:t>
            </w:r>
          </w:p>
        </w:tc>
      </w:tr>
    </w:tbl>
    <w:p>
      <w:pPr>
        <w:spacing w:after="4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after="8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i w:val="false"/>
          <w:iCs w:val="false"/>
          <w:color w:val="D85A30"/>
          <w:sz w:val="25"/>
          <w:szCs w:val="25"/>
        </w:rPr>
        <w:t xml:space="preserve">Fase 3 — Avaliação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9"/>
          <w:szCs w:val="19"/>
        </w:rPr>
        <w:t xml:space="preserve">Ao final do ciclo ou do ano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8846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9922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/>
            </w:r>
          </w:p>
        </w:tc>
        <w:tc>
          <w:tcPr>
            <w:tcW w:type="dxa" w:w="8846"/>
            <w:tcBorders>
              <w:top w:val="single" w:color="DDDDDD" w:sz="1"/>
              <w:left w:val="none" w:color="FFFFFF" w:sz="0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9922"/>
                <w:sz w:val="20"/>
                <w:szCs w:val="20"/>
              </w:rPr>
              <w:t xml:space="preserve">Publicação: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O projeto gerou algum texto público além do relatório? O coordenador consegue nomear algo concreto que aprendeu e que valeria registrar?</w:t>
            </w:r>
          </w:p>
        </w:tc>
      </w:tr>
    </w:tbl>
    <w:p>
      <w:pPr>
        <w:spacing w:after="4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8846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F77DD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/>
            </w:r>
          </w:p>
        </w:tc>
        <w:tc>
          <w:tcPr>
            <w:tcW w:type="dxa" w:w="8846"/>
            <w:tcBorders>
              <w:top w:val="single" w:color="DDDDDD" w:sz="1"/>
              <w:left w:val="none" w:color="FFFFFF" w:sz="0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77DD"/>
                <w:sz w:val="20"/>
                <w:szCs w:val="20"/>
              </w:rPr>
              <w:t xml:space="preserve">Coletivo: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 equipe docente fez alguma análise coletiva do que funcionou e do que não funcionou? Esse aprendizado está registrado?</w:t>
            </w:r>
          </w:p>
        </w:tc>
      </w:tr>
    </w:tbl>
    <w:p>
      <w:pPr>
        <w:spacing w:after="4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8846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/>
            </w:r>
          </w:p>
        </w:tc>
        <w:tc>
          <w:tcPr>
            <w:tcW w:type="dxa" w:w="8846"/>
            <w:tcBorders>
              <w:top w:val="single" w:color="DDDDDD" w:sz="1"/>
              <w:left w:val="none" w:color="FFFFFF" w:sz="0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20"/>
                <w:szCs w:val="20"/>
              </w:rPr>
              <w:t xml:space="preserve">Território: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 comunidade atendida avaliou o projeto? O que ela diria que foi mais e menos útil?</w:t>
            </w:r>
          </w:p>
        </w:tc>
      </w:tr>
    </w:tbl>
    <w:p>
      <w:pPr>
        <w:spacing w:after="4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8846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/>
            </w:r>
          </w:p>
        </w:tc>
        <w:tc>
          <w:tcPr>
            <w:tcW w:type="dxa" w:w="8846"/>
            <w:tcBorders>
              <w:top w:val="single" w:color="DDDDDD" w:sz="1"/>
              <w:left w:val="none" w:color="FFFFFF" w:sz="0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0"/>
                <w:szCs w:val="20"/>
              </w:rPr>
              <w:t xml:space="preserve">Historicização: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Estudantes saíram do projeto sabendo algo específico sobre o contexto local que não saberiam se o projeto fosse em outra cidade?</w:t>
            </w:r>
          </w:p>
        </w:tc>
      </w:tr>
    </w:tbl>
    <w:p>
      <w:pPr>
        <w:spacing w:after="4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8846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3B6E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/>
            </w:r>
          </w:p>
        </w:tc>
        <w:tc>
          <w:tcPr>
            <w:tcW w:type="dxa" w:w="8846"/>
            <w:tcBorders>
              <w:top w:val="single" w:color="DDDDDD" w:sz="1"/>
              <w:left w:val="none" w:color="FFFFFF" w:sz="0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6E"/>
                <w:sz w:val="20"/>
                <w:szCs w:val="20"/>
              </w:rPr>
              <w:t xml:space="preserve">Próximo ciclo: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Qual das 8 categorias ficou mais fraca neste ciclo? O que poderia ser feito diferente para fortalecê-la no próximo semestre?</w:t>
            </w:r>
          </w:p>
        </w:tc>
      </w:tr>
    </w:tbl>
    <w:p>
      <w:pPr>
        <w:spacing w:after="4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after="8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F77DD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04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F77DD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Autoavaliação Rápida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D0E8FF"/>
                <w:sz w:val="18"/>
                <w:szCs w:val="18"/>
              </w:rPr>
              <w:t xml:space="preserve">Diagnóstico em 5 minutos para qualquer projeto</w:t>
            </w:r>
          </w:p>
        </w:tc>
      </w:tr>
    </w:tbl>
    <w:p>
      <w:pPr>
        <w:spacing w:after="120" w:before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after="12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Para cada afirmação abaixo, marque: SIM (acontece de forma intencional), PARCIAL (acontece às vezes ou poderia ser mais forte) ou NÃO (ainda não está presente).</w:t>
      </w:r>
    </w:p>
    <w:p>
      <w:pPr>
        <w:spacing w:after="8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626"/>
        <w:gridCol w:w="700"/>
        <w:gridCol w:w="1000"/>
        <w:gridCol w:w="7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Categoria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Afirmação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SIM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PARCIAL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19"/>
                <w:szCs w:val="19"/>
              </w:rPr>
              <w:t xml:space="preserve">Território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 comunidade atendida tem alguma forma de influenciar o que é feito no projeto.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77DD"/>
                <w:sz w:val="19"/>
                <w:szCs w:val="19"/>
              </w:rPr>
              <w:t xml:space="preserve">Coletivo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Os professores envolvidos se reúnem para refletir sobre a prática pedagógica, não só sobre logística.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537E"/>
                <w:sz w:val="19"/>
                <w:szCs w:val="19"/>
              </w:rPr>
              <w:t xml:space="preserve">Indução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Professores iniciantes ou estudantes em transição são acompanhados intencionalmente por experientes.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85A30"/>
                <w:sz w:val="19"/>
                <w:szCs w:val="19"/>
              </w:rPr>
              <w:t xml:space="preserve">Pares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O projeto prevê momentos em que estudantes ensinam — uns aos outros ou à comunidade.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9"/>
                <w:szCs w:val="19"/>
              </w:rPr>
              <w:t xml:space="preserve">Historicização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O conteúdo acadêmico é ancorado na realidade local de Rio Verde e do Cerrado.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7517"/>
                <w:sz w:val="19"/>
                <w:szCs w:val="19"/>
              </w:rPr>
              <w:t xml:space="preserve">Intergeracional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Pessoas de diferentes gerações participam ativamente, com troca real de saber.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9922"/>
                <w:sz w:val="19"/>
                <w:szCs w:val="19"/>
              </w:rPr>
              <w:t xml:space="preserve">Publicação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O projeto já gerou (ou tem plano para gerar) algum texto público além do relatório obrigatório.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>Espaços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O ambiente onde o projeto acontece exige dos estudantes algo que a sala de aula não exigiria.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8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8846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F77DD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/>
            </w:r>
          </w:p>
        </w:tc>
        <w:tc>
          <w:tcPr>
            <w:tcW w:type="dxa" w:w="8846"/>
            <w:tcBorders>
              <w:top w:val="single" w:color="DDDDDD" w:sz="1"/>
              <w:left w:val="none" w:color="FFFFFF" w:sz="0"/>
              <w:bottom w:val="single" w:color="DDDDDD" w:sz="1"/>
              <w:right w:val="single" w:color="DDDDDD" w:sz="1"/>
            </w:tcBorders>
            <w:shd w:fill="EEED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6E"/>
                <w:sz w:val="20"/>
                <w:szCs w:val="20"/>
              </w:rPr>
              <w:t xml:space="preserve">Interpretação: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 ou mais SIM = projeto exemplar, candidato a destaque institucional.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 a 5 SIM = projeto consistente, com espaço para crescimento.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Menos de 3 SIM = projeto em estágio inicial — identifique 2 categorias para fortalecer no próximo ciclo.</w:t>
            </w:r>
          </w:p>
        </w:tc>
      </w:tr>
    </w:tbl>
    <w:p>
      <w:pPr>
        <w:spacing w:after="120" w:before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pBdr>
          <w:bottom w:val="single" w:color="DDDDDD" w:sz="4"/>
        </w:pBdr>
        <w:spacing w:after="200" w:before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after="8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5"/>
          <w:szCs w:val="25"/>
        </w:rPr>
        <w:t xml:space="preserve">Referência bibliográfica</w:t>
      </w:r>
    </w:p>
    <w:p>
      <w:pPr>
        <w:spacing w:after="12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NÓVOA, António. Professores: Libertar o Futuro. Com a colaboração de Yara Alvim. São Paulo: Diálogos Embalados, 2023. 143 p. ISBN 978-65-980068-0-8.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9"/>
          <w:szCs w:val="19"/>
        </w:rPr>
        <w:t xml:space="preserve">Todas as referências de página nesta cartilha correspondem à 1.ª edição (maio de 2023).</w:t>
      </w:r>
    </w:p>
    <w:p>
      <w:pPr>
        <w:spacing w:after="80" w:befor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UniRV — Universidade de Rio Verde  ·  Comitê de Extensão  ·  Rio Verde, Goiás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/>
      </w:pBdr>
      <w:spacing w:after="0" w:before="120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999999"/>
        <w:sz w:val="16"/>
        <w:szCs w:val="16"/>
      </w:rPr>
      <w:t xml:space="preserve">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2"/>
      </w:pBdr>
      <w:spacing w:after="120" w:before="0"/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olor w:val="999999"/>
        <w:sz w:val="16"/>
        <w:szCs w:val="16"/>
      </w:rPr>
      <w:t xml:space="preserve">UniRV — Cartilha de Extensão  ·  Projetos que Libertam o Futuro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85FA5" w:sz="6" w:space="4"/>
      </w:pBdr>
      <w:spacing w:after="200" w:before="400"/>
      <w:outlineLvl w:val="0"/>
    </w:pPr>
    <w:rPr>
      <w:rFonts w:ascii="Arial" w:cs="Arial" w:eastAsia="Arial" w:hAnsi="Arial"/>
      <w:b/>
      <w:bCs/>
      <w:color w:val="0D3B6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85FA5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2026-06-02T03:35:49.585Z</dcterms:created>
  <dcterms:modified xsi:type="dcterms:W3CDTF">2026-06-02T03:35:49.600Z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