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5D" w:rsidRPr="00B172B8" w:rsidRDefault="00D7215D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t>Exercise 01.</w:t>
      </w:r>
    </w:p>
    <w:p w:rsidR="00C31680" w:rsidRDefault="00C3168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RESP:</w:t>
      </w:r>
    </w:p>
    <w:p w:rsidR="00C31680" w:rsidRDefault="00A7286C" w:rsidP="00DC0B0F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Com base nos modelos do neurônio de McCulloch e Pitts e após </w:t>
      </w:r>
      <w:r w:rsidR="00E21FFA">
        <w:rPr>
          <w:rFonts w:eastAsiaTheme="minorEastAsia"/>
          <w:sz w:val="24"/>
          <w:lang w:val="pt-BR"/>
        </w:rPr>
        <w:t xml:space="preserve">a análise da função </w:t>
      </w:r>
      <w:r w:rsidR="00E21FFA" w:rsidRPr="00DC0B0F">
        <w:rPr>
          <w:rFonts w:eastAsiaTheme="minorEastAsia"/>
          <w:b/>
          <w:sz w:val="24"/>
          <w:lang w:val="pt-BR"/>
        </w:rPr>
        <w:t>g(x)</w:t>
      </w:r>
      <w:r w:rsidR="00E21FFA">
        <w:rPr>
          <w:rFonts w:eastAsiaTheme="minorEastAsia"/>
          <w:sz w:val="24"/>
          <w:lang w:val="pt-BR"/>
        </w:rPr>
        <w:t xml:space="preserve">, pode-se </w:t>
      </w:r>
      <w:r w:rsidR="00DC0B0F">
        <w:rPr>
          <w:rFonts w:eastAsiaTheme="minorEastAsia"/>
          <w:sz w:val="24"/>
          <w:lang w:val="pt-BR"/>
        </w:rPr>
        <w:t xml:space="preserve">concluir que </w:t>
      </w:r>
      <w:r w:rsidR="00DC0B0F" w:rsidRPr="00DC0B0F">
        <w:rPr>
          <w:rFonts w:eastAsiaTheme="minorEastAsia"/>
          <w:b/>
          <w:sz w:val="24"/>
          <w:lang w:val="pt-BR"/>
        </w:rPr>
        <w:t>X3</w:t>
      </w:r>
      <w:r w:rsidR="00DC0B0F">
        <w:rPr>
          <w:rFonts w:eastAsiaTheme="minorEastAsia"/>
          <w:sz w:val="24"/>
          <w:lang w:val="pt-BR"/>
        </w:rPr>
        <w:t xml:space="preserve"> precisa ser barrado (</w:t>
      </w:r>
      <w:r w:rsidR="00DC0B0F" w:rsidRPr="00DC0B0F">
        <w:rPr>
          <w:rFonts w:eastAsiaTheme="minorEastAsia"/>
          <w:i/>
          <w:sz w:val="24"/>
          <w:lang w:val="pt-BR"/>
        </w:rPr>
        <w:t>negado</w:t>
      </w:r>
      <w:r w:rsidR="00DC0B0F">
        <w:rPr>
          <w:rFonts w:eastAsiaTheme="minorEastAsia"/>
          <w:sz w:val="24"/>
          <w:lang w:val="pt-BR"/>
        </w:rPr>
        <w:t xml:space="preserve">) e também que </w:t>
      </w:r>
      <w:r w:rsidR="00DC0B0F" w:rsidRPr="00DC0B0F">
        <w:rPr>
          <w:rFonts w:eastAsiaTheme="minorEastAsia"/>
          <w:b/>
          <w:sz w:val="24"/>
          <w:lang w:val="pt-BR"/>
        </w:rPr>
        <w:t>g(x)</w:t>
      </w:r>
      <w:r w:rsidR="00DC0B0F">
        <w:rPr>
          <w:rFonts w:eastAsiaTheme="minorEastAsia"/>
          <w:sz w:val="24"/>
          <w:lang w:val="pt-BR"/>
        </w:rPr>
        <w:t xml:space="preserve"> deverá ser maior ou igual (</w:t>
      </w:r>
      <w:r w:rsidR="00DC0B0F" w:rsidRPr="00DC0B0F">
        <w:rPr>
          <w:rFonts w:eastAsiaTheme="minorEastAsia" w:cstheme="minorHAnsi"/>
          <w:b/>
          <w:sz w:val="24"/>
          <w:lang w:val="pt-BR"/>
        </w:rPr>
        <w:t>≥</w:t>
      </w:r>
      <w:r w:rsidR="00DC0B0F">
        <w:rPr>
          <w:rFonts w:eastAsiaTheme="minorEastAsia"/>
          <w:sz w:val="24"/>
          <w:lang w:val="pt-BR"/>
        </w:rPr>
        <w:t xml:space="preserve">) a </w:t>
      </w:r>
      <w:r w:rsidR="00DC0B0F" w:rsidRPr="009F2BBA">
        <w:rPr>
          <w:rFonts w:eastAsiaTheme="minorEastAsia"/>
          <w:b/>
          <w:sz w:val="24"/>
          <w:lang w:val="pt-BR"/>
        </w:rPr>
        <w:t>2</w:t>
      </w:r>
      <w:r w:rsidR="00DC0B0F">
        <w:rPr>
          <w:rFonts w:eastAsiaTheme="minorEastAsia"/>
          <w:sz w:val="24"/>
          <w:lang w:val="pt-BR"/>
        </w:rPr>
        <w:t>, conforme mostrado abaixo:</w:t>
      </w:r>
      <w:bookmarkStart w:id="0" w:name="_GoBack"/>
      <w:bookmarkEnd w:id="0"/>
    </w:p>
    <w:p w:rsidR="00A95474" w:rsidRDefault="00A95474">
      <w:pPr>
        <w:rPr>
          <w:rFonts w:eastAsiaTheme="minorEastAsia"/>
          <w:noProof/>
          <w:sz w:val="24"/>
          <w:lang w:val="pt-BR" w:eastAsia="pt-BR"/>
        </w:rPr>
      </w:pPr>
    </w:p>
    <w:p w:rsidR="00E21FFA" w:rsidRDefault="00E21FFA">
      <w:pPr>
        <w:rPr>
          <w:rFonts w:eastAsiaTheme="minorEastAsia"/>
          <w:sz w:val="24"/>
          <w:lang w:val="pt-BR"/>
        </w:rPr>
      </w:pPr>
      <w:r>
        <w:rPr>
          <w:rFonts w:eastAsiaTheme="minorEastAsia"/>
          <w:noProof/>
          <w:sz w:val="24"/>
          <w:lang w:val="pt-BR" w:eastAsia="pt-BR"/>
        </w:rPr>
        <w:drawing>
          <wp:inline distT="0" distB="0" distL="0" distR="0">
            <wp:extent cx="5391150" cy="1771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74" w:rsidRDefault="00A95474" w:rsidP="00DC0B0F">
      <w:pPr>
        <w:rPr>
          <w:rFonts w:eastAsiaTheme="minorEastAsia"/>
          <w:b/>
          <w:sz w:val="24"/>
          <w:lang w:val="pt-BR"/>
        </w:rPr>
      </w:pPr>
    </w:p>
    <w:p w:rsidR="00DC0B0F" w:rsidRPr="00B172B8" w:rsidRDefault="00DC0B0F" w:rsidP="00DC0B0F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t>Exercise 0</w:t>
      </w:r>
      <w:r>
        <w:rPr>
          <w:rFonts w:eastAsiaTheme="minorEastAsia"/>
          <w:b/>
          <w:sz w:val="24"/>
          <w:lang w:val="pt-BR"/>
        </w:rPr>
        <w:t>2</w:t>
      </w:r>
      <w:r w:rsidRPr="00B172B8">
        <w:rPr>
          <w:rFonts w:eastAsiaTheme="minorEastAsia"/>
          <w:b/>
          <w:sz w:val="24"/>
          <w:lang w:val="pt-BR"/>
        </w:rPr>
        <w:t>.</w:t>
      </w:r>
    </w:p>
    <w:p w:rsidR="00310E10" w:rsidRPr="002574DE" w:rsidRDefault="00A95474" w:rsidP="00A95474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De acordo com o mapeamento abaixo, pode-se ver que a ativação da função ocorre quando </w:t>
      </w:r>
      <w:r w:rsidR="002574DE">
        <w:rPr>
          <w:rFonts w:eastAsiaTheme="minorEastAsia"/>
          <w:b/>
          <w:sz w:val="24"/>
          <w:lang w:val="pt-BR"/>
        </w:rPr>
        <w:t>g(x) = 1.</w:t>
      </w:r>
      <w:r w:rsidR="002574DE">
        <w:rPr>
          <w:rFonts w:eastAsiaTheme="minorEastAsia"/>
          <w:sz w:val="24"/>
          <w:lang w:val="pt-BR"/>
        </w:rPr>
        <w:t xml:space="preserve"> Não será possível a classificação booleana </w:t>
      </w:r>
      <w:r w:rsidR="002574DE" w:rsidRPr="00E80DB8">
        <w:rPr>
          <w:rFonts w:eastAsiaTheme="minorEastAsia"/>
          <w:b/>
          <w:sz w:val="24"/>
          <w:lang w:val="pt-BR"/>
        </w:rPr>
        <w:t>XOR</w:t>
      </w:r>
      <w:r w:rsidR="002574DE">
        <w:rPr>
          <w:rFonts w:eastAsiaTheme="minorEastAsia"/>
          <w:sz w:val="24"/>
          <w:lang w:val="pt-BR"/>
        </w:rPr>
        <w:t xml:space="preserve"> utilizando os modelos </w:t>
      </w:r>
      <w:r w:rsidR="002574DE" w:rsidRPr="00E80DB8">
        <w:rPr>
          <w:rFonts w:eastAsiaTheme="minorEastAsia"/>
          <w:i/>
          <w:sz w:val="24"/>
          <w:lang w:val="pt-BR"/>
        </w:rPr>
        <w:t>McCulloch</w:t>
      </w:r>
      <w:r w:rsidR="002574DE">
        <w:rPr>
          <w:rFonts w:eastAsiaTheme="minorEastAsia"/>
          <w:sz w:val="24"/>
          <w:lang w:val="pt-BR"/>
        </w:rPr>
        <w:t xml:space="preserve"> e </w:t>
      </w:r>
      <w:r w:rsidR="002574DE" w:rsidRPr="00E80DB8">
        <w:rPr>
          <w:rFonts w:eastAsiaTheme="minorEastAsia"/>
          <w:i/>
          <w:sz w:val="24"/>
          <w:lang w:val="pt-BR"/>
        </w:rPr>
        <w:t>Pitts</w:t>
      </w:r>
      <w:r w:rsidR="002574DE">
        <w:rPr>
          <w:rFonts w:eastAsiaTheme="minorEastAsia"/>
          <w:sz w:val="24"/>
          <w:lang w:val="pt-BR"/>
        </w:rPr>
        <w:t xml:space="preserve"> e isto se dá devido a impossibilidade da implementação da função degrau.</w:t>
      </w:r>
    </w:p>
    <w:p w:rsidR="00A95474" w:rsidRPr="00A95474" w:rsidRDefault="00A95474" w:rsidP="00A95474">
      <w:pPr>
        <w:jc w:val="center"/>
        <w:rPr>
          <w:rFonts w:eastAsiaTheme="minorEastAsia"/>
          <w:sz w:val="24"/>
          <w:lang w:val="pt-BR"/>
        </w:rPr>
      </w:pPr>
      <w:r>
        <w:rPr>
          <w:rFonts w:eastAsiaTheme="minorEastAsia"/>
          <w:b/>
          <w:sz w:val="24"/>
          <w:lang w:val="pt-BR"/>
        </w:rPr>
        <w:t>XOR</w:t>
      </w:r>
    </w:p>
    <w:p w:rsidR="00A2120C" w:rsidRPr="00F02145" w:rsidRDefault="00AE4C32" w:rsidP="00A95474">
      <w:pPr>
        <w:jc w:val="center"/>
        <w:rPr>
          <w:rFonts w:eastAsiaTheme="minorEastAsia"/>
          <w:sz w:val="24"/>
          <w:lang w:val="pt-BR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  <w:sz w:val="24"/>
                  <w:lang w:val="pt-B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 xml:space="preserve">Y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  <w:sz w:val="24"/>
              <w:lang w:val="pt-BR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  <w:sz w:val="24"/>
                  <w:lang w:val="pt-B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g(x)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e>
                  </m:mr>
                </m:m>
              </m:e>
            </m:mr>
          </m:m>
        </m:oMath>
      </m:oMathPara>
    </w:p>
    <w:p w:rsidR="00F02145" w:rsidRDefault="00F02145">
      <w:pPr>
        <w:rPr>
          <w:rFonts w:eastAsiaTheme="minorEastAsia"/>
          <w:sz w:val="24"/>
          <w:lang w:val="pt-BR"/>
        </w:rPr>
      </w:pPr>
    </w:p>
    <w:sectPr w:rsidR="00F0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32" w:rsidRDefault="00AE4C32" w:rsidP="004F34C1">
      <w:pPr>
        <w:spacing w:after="0" w:line="240" w:lineRule="auto"/>
      </w:pPr>
      <w:r>
        <w:separator/>
      </w:r>
    </w:p>
  </w:endnote>
  <w:endnote w:type="continuationSeparator" w:id="0">
    <w:p w:rsidR="00AE4C32" w:rsidRDefault="00AE4C32" w:rsidP="004F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32" w:rsidRDefault="00AE4C32" w:rsidP="004F34C1">
      <w:pPr>
        <w:spacing w:after="0" w:line="240" w:lineRule="auto"/>
      </w:pPr>
      <w:r>
        <w:separator/>
      </w:r>
    </w:p>
  </w:footnote>
  <w:footnote w:type="continuationSeparator" w:id="0">
    <w:p w:rsidR="00AE4C32" w:rsidRDefault="00AE4C32" w:rsidP="004F3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5D"/>
    <w:rsid w:val="00062215"/>
    <w:rsid w:val="000C5412"/>
    <w:rsid w:val="000D577F"/>
    <w:rsid w:val="000F5BB7"/>
    <w:rsid w:val="001617BA"/>
    <w:rsid w:val="001A1DAB"/>
    <w:rsid w:val="001C7E5C"/>
    <w:rsid w:val="002415EC"/>
    <w:rsid w:val="002574DE"/>
    <w:rsid w:val="00260E23"/>
    <w:rsid w:val="00276B37"/>
    <w:rsid w:val="0028159B"/>
    <w:rsid w:val="0029099E"/>
    <w:rsid w:val="002B3E20"/>
    <w:rsid w:val="002D1F8E"/>
    <w:rsid w:val="00310E10"/>
    <w:rsid w:val="003A425E"/>
    <w:rsid w:val="003A5D2A"/>
    <w:rsid w:val="0043419F"/>
    <w:rsid w:val="00486DE6"/>
    <w:rsid w:val="00496D99"/>
    <w:rsid w:val="004F34C1"/>
    <w:rsid w:val="005111F6"/>
    <w:rsid w:val="00513497"/>
    <w:rsid w:val="00522D13"/>
    <w:rsid w:val="00542BA7"/>
    <w:rsid w:val="005457C8"/>
    <w:rsid w:val="005B4B7F"/>
    <w:rsid w:val="005C5587"/>
    <w:rsid w:val="005E5642"/>
    <w:rsid w:val="005F5201"/>
    <w:rsid w:val="00626C97"/>
    <w:rsid w:val="00691D66"/>
    <w:rsid w:val="006C2F41"/>
    <w:rsid w:val="007454B5"/>
    <w:rsid w:val="00745D7A"/>
    <w:rsid w:val="007C74F5"/>
    <w:rsid w:val="008043D3"/>
    <w:rsid w:val="00866237"/>
    <w:rsid w:val="00867952"/>
    <w:rsid w:val="008B7D69"/>
    <w:rsid w:val="00922C7C"/>
    <w:rsid w:val="00923EBF"/>
    <w:rsid w:val="00987915"/>
    <w:rsid w:val="009E0F19"/>
    <w:rsid w:val="009F2BBA"/>
    <w:rsid w:val="00A2120C"/>
    <w:rsid w:val="00A357D8"/>
    <w:rsid w:val="00A3666C"/>
    <w:rsid w:val="00A7286C"/>
    <w:rsid w:val="00A95474"/>
    <w:rsid w:val="00AC364A"/>
    <w:rsid w:val="00AC44F8"/>
    <w:rsid w:val="00AE4C32"/>
    <w:rsid w:val="00B12C86"/>
    <w:rsid w:val="00B172B8"/>
    <w:rsid w:val="00B277C7"/>
    <w:rsid w:val="00BE382F"/>
    <w:rsid w:val="00C31680"/>
    <w:rsid w:val="00C82CE4"/>
    <w:rsid w:val="00CB1834"/>
    <w:rsid w:val="00CB282A"/>
    <w:rsid w:val="00D12BD8"/>
    <w:rsid w:val="00D1581F"/>
    <w:rsid w:val="00D7215D"/>
    <w:rsid w:val="00D74DE3"/>
    <w:rsid w:val="00DC0B0F"/>
    <w:rsid w:val="00E21FFA"/>
    <w:rsid w:val="00E2359C"/>
    <w:rsid w:val="00E80DB8"/>
    <w:rsid w:val="00ED3ECB"/>
    <w:rsid w:val="00ED5AEA"/>
    <w:rsid w:val="00F01BC6"/>
    <w:rsid w:val="00F02145"/>
    <w:rsid w:val="00F31191"/>
    <w:rsid w:val="00F442D0"/>
    <w:rsid w:val="00F46CB4"/>
    <w:rsid w:val="00F55BC9"/>
    <w:rsid w:val="00F6434D"/>
    <w:rsid w:val="00FC6AFC"/>
    <w:rsid w:val="00FE3FAC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B848-8FDE-49A7-8363-2C8F1C9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21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4C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4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83D94-7E60-43EC-9033-51755684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Ferrero</dc:creator>
  <cp:keywords/>
  <dc:description/>
  <cp:lastModifiedBy>Marco Aurélio Souza Ferrero</cp:lastModifiedBy>
  <cp:revision>48</cp:revision>
  <dcterms:created xsi:type="dcterms:W3CDTF">2020-06-12T20:25:00Z</dcterms:created>
  <dcterms:modified xsi:type="dcterms:W3CDTF">2020-06-29T13:48:00Z</dcterms:modified>
</cp:coreProperties>
</file>