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6248" w14:textId="62760ABA" w:rsidR="00CE4A49" w:rsidRPr="00CE4A49" w:rsidRDefault="00CE4A49" w:rsidP="00CE4A49">
      <w:pPr>
        <w:jc w:val="both"/>
        <w:rPr>
          <w:lang w:val="en-GB"/>
        </w:rPr>
      </w:pPr>
      <w:r w:rsidRPr="00CE4A49">
        <w:rPr>
          <w:b/>
          <w:bCs/>
          <w:lang w:val="en-GB"/>
        </w:rPr>
        <w:t>Geopolitical Shocks at Sea: Disruption, Rerouting, and Resilience in Maritime Transport Networks</w:t>
      </w:r>
    </w:p>
    <w:p w14:paraId="5BAB26D7" w14:textId="1F4CF649" w:rsidR="00CE4A49" w:rsidRDefault="00CE4A49" w:rsidP="00C60A38">
      <w:pPr>
        <w:jc w:val="both"/>
        <w:rPr>
          <w:lang w:val="en-GB"/>
        </w:rPr>
      </w:pPr>
      <w:r w:rsidRPr="00CE4A49">
        <w:rPr>
          <w:lang w:val="en-GB"/>
        </w:rPr>
        <w:t>Maritime transport is the backbone of global trade, carrying over 80% of world cargo by volume. Yet the past decade has exposed a core fragility of maritime systems: security shocks are geographically concentrated, but adjustment is network-wide, propagating through chokepoints</w:t>
      </w:r>
      <w:r w:rsidR="00364E2F">
        <w:rPr>
          <w:lang w:val="en-GB"/>
        </w:rPr>
        <w:t xml:space="preserve"> in the entire network</w:t>
      </w:r>
      <w:r w:rsidR="00C60A38">
        <w:rPr>
          <w:lang w:val="en-GB"/>
        </w:rPr>
        <w:t xml:space="preserve">. </w:t>
      </w:r>
      <w:r w:rsidR="00C60A38" w:rsidRPr="00C60A38">
        <w:rPr>
          <w:lang w:val="en-GB"/>
        </w:rPr>
        <w:t>Since the late 2000s</w:t>
      </w:r>
      <w:r w:rsidR="00C60A38">
        <w:rPr>
          <w:lang w:val="en-GB"/>
        </w:rPr>
        <w:t xml:space="preserve">, </w:t>
      </w:r>
      <w:r w:rsidR="00C60A38" w:rsidRPr="00C60A38">
        <w:rPr>
          <w:lang w:val="en-GB"/>
        </w:rPr>
        <w:t>and even more since the early 2020s</w:t>
      </w:r>
      <w:r w:rsidR="00C60A38">
        <w:rPr>
          <w:lang w:val="en-GB"/>
        </w:rPr>
        <w:t xml:space="preserve">, </w:t>
      </w:r>
      <w:r w:rsidR="00C60A38" w:rsidRPr="00C60A38">
        <w:rPr>
          <w:lang w:val="en-GB"/>
        </w:rPr>
        <w:t>work on shocks, conflicts, and security risk in shipping has expanded alongside new data (AIS, port calls, satellite proxies), higher computational capacity, and renewed interest in chokepoints, sanctions, and coercion in global trade. The resulting literature is large but fragmented. Closely related questions</w:t>
      </w:r>
      <w:r w:rsidR="00C60A38">
        <w:rPr>
          <w:lang w:val="en-GB"/>
        </w:rPr>
        <w:t xml:space="preserve"> (</w:t>
      </w:r>
      <w:r w:rsidR="00C60A38" w:rsidRPr="00C60A38">
        <w:rPr>
          <w:lang w:val="en-GB"/>
        </w:rPr>
        <w:t>how risk alters routes, how networks reconfigure, and how trade responds</w:t>
      </w:r>
      <w:r w:rsidR="00C60A38">
        <w:rPr>
          <w:lang w:val="en-GB"/>
        </w:rPr>
        <w:t xml:space="preserve">) </w:t>
      </w:r>
      <w:r w:rsidR="00C60A38" w:rsidRPr="00C60A38">
        <w:rPr>
          <w:lang w:val="en-GB"/>
        </w:rPr>
        <w:t>are addressed in partially disconnected subfields: operations research and maritime logistics (robust routing, schedule recovery), international economics (trade costs, diversion, sanctions and conflict), quantitative geography (corridors, spatial dependence, exposure), and shipping network studies (vulnerability, robustness, cascading effects).</w:t>
      </w:r>
    </w:p>
    <w:p w14:paraId="547A5812" w14:textId="77777777" w:rsidR="002323D8" w:rsidRDefault="00CE4A49" w:rsidP="002323D8">
      <w:pPr>
        <w:jc w:val="both"/>
        <w:rPr>
          <w:lang w:val="en-GB"/>
        </w:rPr>
      </w:pPr>
      <w:r w:rsidRPr="00CE4A49">
        <w:rPr>
          <w:lang w:val="en-GB"/>
        </w:rPr>
        <w:t>This review article targets the special issue’s scope on (</w:t>
      </w:r>
      <w:proofErr w:type="spellStart"/>
      <w:r w:rsidRPr="00CE4A49">
        <w:rPr>
          <w:lang w:val="en-GB"/>
        </w:rPr>
        <w:t>i</w:t>
      </w:r>
      <w:proofErr w:type="spellEnd"/>
      <w:r w:rsidRPr="00CE4A49">
        <w:rPr>
          <w:lang w:val="en-GB"/>
        </w:rPr>
        <w:t xml:space="preserve">) impacts of geopolitical disruptions on shipping routes and networks, (ii) assessment of geopolitical risks for maritime operations, and (iii) new methodological approaches to </w:t>
      </w:r>
      <w:proofErr w:type="spellStart"/>
      <w:r w:rsidRPr="00CE4A49">
        <w:rPr>
          <w:lang w:val="en-GB"/>
        </w:rPr>
        <w:t>analyzing</w:t>
      </w:r>
      <w:proofErr w:type="spellEnd"/>
      <w:r w:rsidRPr="00CE4A49">
        <w:rPr>
          <w:lang w:val="en-GB"/>
        </w:rPr>
        <w:t xml:space="preserve"> port and shipping disruptions.</w:t>
      </w:r>
      <w:r>
        <w:rPr>
          <w:lang w:val="en-GB"/>
        </w:rPr>
        <w:t xml:space="preserve"> </w:t>
      </w:r>
      <w:r w:rsidR="008650B8" w:rsidRPr="008650B8">
        <w:rPr>
          <w:lang w:val="en-GB"/>
        </w:rPr>
        <w:t xml:space="preserve">While focusing primarily on conflicts and security risks, and their consequences for shipping, we aim to generate a more general discussion on the themes and methods associated with network disruption. </w:t>
      </w:r>
      <w:r w:rsidR="002323D8">
        <w:rPr>
          <w:lang w:val="en-GB"/>
        </w:rPr>
        <w:t xml:space="preserve">The review is structured around a simple analytical sequence in three steps: disruption, rerouting, resilience. The key objective of our approach is to show how different fields and subfields operationalise this sequence. </w:t>
      </w:r>
      <w:r w:rsidR="002323D8" w:rsidRPr="00EF5533">
        <w:rPr>
          <w:lang w:val="en-GB"/>
        </w:rPr>
        <w:t>In operational research, disruptions are modelled around risk-related issues or strict constraints, rerouting, and schedule recovery. In international economics, the phenomenon of disruption is reflected in trade costs and frictions, exposure to sanctions, and macroeconomic impact. Quantitative geography emphasizes the spatial organization of economic activities, dependence on corridors, and regional propagation. Finally, studies on maritime transport networks represent</w:t>
      </w:r>
      <w:r w:rsidR="002323D8">
        <w:rPr>
          <w:lang w:val="en-GB"/>
        </w:rPr>
        <w:t xml:space="preserve"> </w:t>
      </w:r>
      <w:r w:rsidR="002323D8" w:rsidRPr="00EF5533">
        <w:rPr>
          <w:lang w:val="en-GB"/>
        </w:rPr>
        <w:t xml:space="preserve">evaluate </w:t>
      </w:r>
      <w:r w:rsidR="002323D8">
        <w:rPr>
          <w:lang w:val="en-GB"/>
        </w:rPr>
        <w:t>network disruption</w:t>
      </w:r>
      <w:r w:rsidR="002323D8" w:rsidRPr="00EF5533">
        <w:rPr>
          <w:lang w:val="en-GB"/>
        </w:rPr>
        <w:t xml:space="preserve"> using centrality, cluster</w:t>
      </w:r>
      <w:r w:rsidR="002323D8">
        <w:rPr>
          <w:lang w:val="en-GB"/>
        </w:rPr>
        <w:t>ing algorithms</w:t>
      </w:r>
      <w:r w:rsidR="002323D8" w:rsidRPr="00EF5533">
        <w:rPr>
          <w:lang w:val="en-GB"/>
        </w:rPr>
        <w:t>, robustness, and cascading failure dynamics.</w:t>
      </w:r>
    </w:p>
    <w:p w14:paraId="6480E95C" w14:textId="77777777" w:rsidR="002323D8" w:rsidRDefault="00C60A38" w:rsidP="002323D8">
      <w:pPr>
        <w:jc w:val="both"/>
        <w:rPr>
          <w:lang w:val="en-GB"/>
        </w:rPr>
      </w:pPr>
      <w:r w:rsidRPr="00C60A38">
        <w:rPr>
          <w:lang w:val="en-GB"/>
        </w:rPr>
        <w:t xml:space="preserve">Methodologically, the review combines bibliometric </w:t>
      </w:r>
      <w:r>
        <w:rPr>
          <w:lang w:val="en-GB"/>
        </w:rPr>
        <w:t>descriptive statistics,</w:t>
      </w:r>
      <w:r w:rsidRPr="00C60A38">
        <w:rPr>
          <w:lang w:val="en-GB"/>
        </w:rPr>
        <w:t xml:space="preserve"> computational text analysis and a structured qualitative synthesis. We </w:t>
      </w:r>
      <w:r w:rsidR="008650B8">
        <w:rPr>
          <w:lang w:val="en-GB"/>
        </w:rPr>
        <w:t>build our empirical strategy on</w:t>
      </w:r>
      <w:r w:rsidRPr="00C60A38">
        <w:rPr>
          <w:lang w:val="en-GB"/>
        </w:rPr>
        <w:t xml:space="preserve"> Structural Topic </w:t>
      </w:r>
      <w:proofErr w:type="spellStart"/>
      <w:r w:rsidRPr="00C60A38">
        <w:rPr>
          <w:lang w:val="en-GB"/>
        </w:rPr>
        <w:t>Modeling</w:t>
      </w:r>
      <w:proofErr w:type="spellEnd"/>
      <w:r w:rsidRPr="00C60A38">
        <w:rPr>
          <w:lang w:val="en-GB"/>
        </w:rPr>
        <w:t xml:space="preserve"> (STM)</w:t>
      </w:r>
      <w:r w:rsidR="008650B8">
        <w:rPr>
          <w:lang w:val="en-GB"/>
        </w:rPr>
        <w:t xml:space="preserve"> methods</w:t>
      </w:r>
      <w:r w:rsidRPr="00C60A38">
        <w:rPr>
          <w:lang w:val="en-GB"/>
        </w:rPr>
        <w:t xml:space="preserve"> to recover the latent thematic structure and to quantify how topic prevalence varies with metadata such as publication period, journal discipline, and author geography.</w:t>
      </w:r>
      <w:r>
        <w:rPr>
          <w:lang w:val="en-GB"/>
        </w:rPr>
        <w:t xml:space="preserve"> </w:t>
      </w:r>
      <w:r w:rsidRPr="00C60A38">
        <w:rPr>
          <w:lang w:val="en-GB"/>
        </w:rPr>
        <w:t xml:space="preserve">Building on this </w:t>
      </w:r>
      <w:r>
        <w:rPr>
          <w:lang w:val="en-GB"/>
        </w:rPr>
        <w:t>framework</w:t>
      </w:r>
      <w:r w:rsidRPr="00C60A38">
        <w:rPr>
          <w:lang w:val="en-GB"/>
        </w:rPr>
        <w:t>, we compile a corpus of peer-reviewed articles at the intersection of maritime transport, geopolitics, and disruption, and we document its growth, disciplinary composition, and collaboration patterns over time. In a second step, we perform a structured qualitative reading of representative contributions within each cluster to clarify mechanisms</w:t>
      </w:r>
      <w:r w:rsidR="009A5B11">
        <w:rPr>
          <w:lang w:val="en-GB"/>
        </w:rPr>
        <w:t xml:space="preserve">. </w:t>
      </w:r>
    </w:p>
    <w:p w14:paraId="61996310" w14:textId="77777777" w:rsidR="002323D8" w:rsidRDefault="009A5B11" w:rsidP="00C60A38">
      <w:pPr>
        <w:jc w:val="both"/>
        <w:rPr>
          <w:lang w:val="en-GB"/>
        </w:rPr>
      </w:pPr>
      <w:r w:rsidRPr="00B70423">
        <w:rPr>
          <w:lang w:val="en-GB"/>
        </w:rPr>
        <w:lastRenderedPageBreak/>
        <w:t xml:space="preserve">We expect that the results of the </w:t>
      </w:r>
      <w:r>
        <w:rPr>
          <w:lang w:val="en-GB"/>
        </w:rPr>
        <w:t>quantitative</w:t>
      </w:r>
      <w:r w:rsidRPr="00B70423">
        <w:rPr>
          <w:lang w:val="en-GB"/>
        </w:rPr>
        <w:t xml:space="preserve"> modelling will identify a small number of recurring theme families. These may include: (</w:t>
      </w:r>
      <w:proofErr w:type="spellStart"/>
      <w:r w:rsidRPr="00B70423">
        <w:rPr>
          <w:lang w:val="en-GB"/>
        </w:rPr>
        <w:t>i</w:t>
      </w:r>
      <w:proofErr w:type="spellEnd"/>
      <w:r w:rsidRPr="00B70423">
        <w:rPr>
          <w:lang w:val="en-GB"/>
        </w:rPr>
        <w:t>) route selection, rerouting, and operational recovery; (ii) network vulnerability and resilience and cascading effects; (iii) trade impacts, diversions, and sanctions/compliance constraints; (iv) competition between ports, performance, and connectivity in a context of geopolitical uncertainty; (v) shipping company strategies and alliances; and (vi) emerging themes such as cybersecurity risks, environmental implications, and humanitarian logistics in conflict situations.</w:t>
      </w:r>
    </w:p>
    <w:p w14:paraId="008CE58E" w14:textId="28FBDEA7" w:rsidR="00EF5533" w:rsidRPr="00C60A38" w:rsidRDefault="00EF5533" w:rsidP="00C60A38">
      <w:pPr>
        <w:jc w:val="both"/>
        <w:rPr>
          <w:lang w:val="en-GB"/>
        </w:rPr>
      </w:pPr>
      <w:r w:rsidRPr="00EF5533">
        <w:rPr>
          <w:lang w:val="en-GB"/>
        </w:rPr>
        <w:t xml:space="preserve">Beyond a quantitative and “semantic” mapping of the field, this paper provides a critical assessment of the concepts and methods used, as well as the results. By attempting to bridge the gap between different fields that rarely refer to each other, we also demonstrate the value, for future research programs, of bringing together different conceptual and methodological </w:t>
      </w:r>
      <w:r w:rsidR="008650B8">
        <w:rPr>
          <w:lang w:val="en-GB"/>
        </w:rPr>
        <w:t>approaches</w:t>
      </w:r>
      <w:r w:rsidRPr="00EF5533">
        <w:rPr>
          <w:lang w:val="en-GB"/>
        </w:rPr>
        <w:t>. In doing so, the article aims to consolidate a fragmented body of work into a coherent account of how geopolitical shocks propagate through maritime transport systems, and the most promising methodological bridges for future research and policy-relevant assessment.</w:t>
      </w:r>
    </w:p>
    <w:p w14:paraId="469C1D5C" w14:textId="77777777" w:rsidR="001C489D" w:rsidRDefault="001C489D" w:rsidP="00CE4A49">
      <w:pPr>
        <w:jc w:val="both"/>
        <w:rPr>
          <w:lang w:val="en-GB"/>
        </w:rPr>
      </w:pPr>
    </w:p>
    <w:p w14:paraId="5A814608" w14:textId="4952C491" w:rsidR="001C489D" w:rsidRPr="001C489D" w:rsidRDefault="001C489D" w:rsidP="00CE4A49">
      <w:pPr>
        <w:jc w:val="both"/>
        <w:rPr>
          <w:lang w:val="en-GB"/>
        </w:rPr>
      </w:pPr>
    </w:p>
    <w:sectPr w:rsidR="001C489D" w:rsidRPr="001C48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49"/>
    <w:rsid w:val="001C489D"/>
    <w:rsid w:val="002323D8"/>
    <w:rsid w:val="00364E2F"/>
    <w:rsid w:val="008650B8"/>
    <w:rsid w:val="009A5B11"/>
    <w:rsid w:val="00B70423"/>
    <w:rsid w:val="00C60A38"/>
    <w:rsid w:val="00CE4A49"/>
    <w:rsid w:val="00CF0086"/>
    <w:rsid w:val="00EF55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E9136"/>
  <w15:chartTrackingRefBased/>
  <w15:docId w15:val="{BD5217C5-D2A7-40D9-A965-397F2987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E4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E4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E4A4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E4A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E4A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E4A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E4A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E4A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E4A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4A4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E4A4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E4A4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E4A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E4A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E4A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E4A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E4A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E4A49"/>
    <w:rPr>
      <w:rFonts w:eastAsiaTheme="majorEastAsia" w:cstheme="majorBidi"/>
      <w:color w:val="272727" w:themeColor="text1" w:themeTint="D8"/>
    </w:rPr>
  </w:style>
  <w:style w:type="paragraph" w:styleId="Titre">
    <w:name w:val="Title"/>
    <w:basedOn w:val="Normal"/>
    <w:next w:val="Normal"/>
    <w:link w:val="TitreCar"/>
    <w:uiPriority w:val="10"/>
    <w:qFormat/>
    <w:rsid w:val="00CE4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4A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E4A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E4A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E4A49"/>
    <w:pPr>
      <w:spacing w:before="160"/>
      <w:jc w:val="center"/>
    </w:pPr>
    <w:rPr>
      <w:i/>
      <w:iCs/>
      <w:color w:val="404040" w:themeColor="text1" w:themeTint="BF"/>
    </w:rPr>
  </w:style>
  <w:style w:type="character" w:customStyle="1" w:styleId="CitationCar">
    <w:name w:val="Citation Car"/>
    <w:basedOn w:val="Policepardfaut"/>
    <w:link w:val="Citation"/>
    <w:uiPriority w:val="29"/>
    <w:rsid w:val="00CE4A49"/>
    <w:rPr>
      <w:i/>
      <w:iCs/>
      <w:color w:val="404040" w:themeColor="text1" w:themeTint="BF"/>
    </w:rPr>
  </w:style>
  <w:style w:type="paragraph" w:styleId="Paragraphedeliste">
    <w:name w:val="List Paragraph"/>
    <w:basedOn w:val="Normal"/>
    <w:uiPriority w:val="34"/>
    <w:qFormat/>
    <w:rsid w:val="00CE4A49"/>
    <w:pPr>
      <w:ind w:left="720"/>
      <w:contextualSpacing/>
    </w:pPr>
  </w:style>
  <w:style w:type="character" w:styleId="Accentuationintense">
    <w:name w:val="Intense Emphasis"/>
    <w:basedOn w:val="Policepardfaut"/>
    <w:uiPriority w:val="21"/>
    <w:qFormat/>
    <w:rsid w:val="00CE4A49"/>
    <w:rPr>
      <w:i/>
      <w:iCs/>
      <w:color w:val="0F4761" w:themeColor="accent1" w:themeShade="BF"/>
    </w:rPr>
  </w:style>
  <w:style w:type="paragraph" w:styleId="Citationintense">
    <w:name w:val="Intense Quote"/>
    <w:basedOn w:val="Normal"/>
    <w:next w:val="Normal"/>
    <w:link w:val="CitationintenseCar"/>
    <w:uiPriority w:val="30"/>
    <w:qFormat/>
    <w:rsid w:val="00CE4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E4A49"/>
    <w:rPr>
      <w:i/>
      <w:iCs/>
      <w:color w:val="0F4761" w:themeColor="accent1" w:themeShade="BF"/>
    </w:rPr>
  </w:style>
  <w:style w:type="character" w:styleId="Rfrenceintense">
    <w:name w:val="Intense Reference"/>
    <w:basedOn w:val="Policepardfaut"/>
    <w:uiPriority w:val="32"/>
    <w:qFormat/>
    <w:rsid w:val="00CE4A49"/>
    <w:rPr>
      <w:b/>
      <w:bCs/>
      <w:smallCaps/>
      <w:color w:val="0F4761" w:themeColor="accent1" w:themeShade="BF"/>
      <w:spacing w:val="5"/>
    </w:rPr>
  </w:style>
  <w:style w:type="character" w:styleId="Lienhypertexte">
    <w:name w:val="Hyperlink"/>
    <w:basedOn w:val="Policepardfaut"/>
    <w:uiPriority w:val="99"/>
    <w:unhideWhenUsed/>
    <w:rsid w:val="001C489D"/>
    <w:rPr>
      <w:color w:val="467886" w:themeColor="hyperlink"/>
      <w:u w:val="single"/>
    </w:rPr>
  </w:style>
  <w:style w:type="character" w:styleId="Mentionnonrsolue">
    <w:name w:val="Unresolved Mention"/>
    <w:basedOn w:val="Policepardfaut"/>
    <w:uiPriority w:val="99"/>
    <w:semiHidden/>
    <w:unhideWhenUsed/>
    <w:rsid w:val="001C489D"/>
    <w:rPr>
      <w:color w:val="605E5C"/>
      <w:shd w:val="clear" w:color="auto" w:fill="E1DFDD"/>
    </w:rPr>
  </w:style>
  <w:style w:type="paragraph" w:styleId="NormalWeb">
    <w:name w:val="Normal (Web)"/>
    <w:basedOn w:val="Normal"/>
    <w:uiPriority w:val="99"/>
    <w:semiHidden/>
    <w:unhideWhenUsed/>
    <w:rsid w:val="00EF55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587</TotalTime>
  <Pages>2</Pages>
  <Words>693</Words>
  <Characters>3815</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MARC-ANTOINE FAURE</dc:creator>
  <cp:keywords/>
  <dc:description/>
  <cp:lastModifiedBy>MARC-ANTOINE FAURE</cp:lastModifiedBy>
  <cp:revision>1</cp:revision>
  <dcterms:created xsi:type="dcterms:W3CDTF">2026-01-09T10:14:00Z</dcterms:created>
  <dcterms:modified xsi:type="dcterms:W3CDTF">2026-01-09T22:37:00Z</dcterms:modified>
</cp:coreProperties>
</file>