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1F3964"/>
          <w:sz w:val="40"/>
        </w:rPr>
        <w:t>PROCESADORES DEL LENGUAJE</w:t>
      </w:r>
    </w:p>
    <w:p>
      <w:pPr>
        <w:jc w:val="center"/>
      </w:pPr>
      <w:r>
        <w:rPr>
          <w:rFonts w:ascii="Calibri" w:hAnsi="Calibri" w:eastAsia="Calibri"/>
          <w:b/>
          <w:i w:val="0"/>
          <w:color w:val="1F3964"/>
          <w:sz w:val="26"/>
        </w:rPr>
        <w:t>GRADO EN INGENIERÍA INFORMÁTICA</w:t>
      </w:r>
    </w:p>
    <w:p/>
    <w:p/>
    <w:p>
      <w:pPr>
        <w:jc w:val="center"/>
      </w:pPr>
      <w:r>
        <w:rPr>
          <w:rFonts w:ascii="Calibri" w:hAnsi="Calibri" w:eastAsia="Calibri"/>
          <w:b/>
          <w:i w:val="0"/>
          <w:color w:val="1F3964"/>
          <w:sz w:val="32"/>
        </w:rPr>
        <w:t>MEMORIA DE LA PRÁCTICA</w:t>
      </w:r>
    </w:p>
    <w:p>
      <w:pPr>
        <w:jc w:val="center"/>
      </w:pPr>
      <w:r>
        <w:rPr>
          <w:rFonts w:ascii="Calibri" w:hAnsi="Calibri" w:eastAsia="Calibri"/>
          <w:b/>
          <w:i w:val="0"/>
          <w:sz w:val="26"/>
        </w:rPr>
        <w:t>Práctica 3 - Análisis semántico de Lava</w:t>
      </w:r>
    </w:p>
    <w:p>
      <w:pPr>
        <w:jc w:val="center"/>
      </w:pPr>
      <w:r>
        <w:rPr>
          <w:rFonts w:ascii="Calibri" w:hAnsi="Calibri" w:eastAsia="Calibri"/>
          <w:b w:val="0"/>
          <w:i/>
          <w:sz w:val="22"/>
        </w:rPr>
        <w:t>Incluye generación opcional de código intermedio</w:t>
      </w:r>
    </w:p>
    <w:p>
      <w:pPr>
        <w:jc w:val="center"/>
      </w:pPr>
      <w:r>
        <w:rPr>
          <w:rFonts w:ascii="Calibri" w:hAnsi="Calibri" w:eastAsia="Calibri"/>
          <w:b w:val="0"/>
          <w:i w:val="0"/>
          <w:sz w:val="24"/>
        </w:rPr>
        <w:t>Curso 2025/2026</w:t>
      </w:r>
    </w:p>
    <w:p/>
    <w:p>
      <w:pPr>
        <w:jc w:val="center"/>
      </w:pPr>
      <w:r>
        <w:rPr>
          <w:rFonts w:ascii="Calibri" w:hAnsi="Calibri" w:eastAsia="Calibri"/>
          <w:b/>
          <w:i w:val="0"/>
          <w:color w:val="1F3964"/>
          <w:sz w:val="26"/>
        </w:rPr>
        <w:t>DATOS DE LOS AUTORES</w:t>
      </w:r>
    </w:p>
    <w:tbl>
      <w:tblPr>
        <w:tblStyle w:val="TableGrid"/>
        <w:tblW w:type="dxa" w:w="9800"/>
        <w:jc w:val="center"/>
        <w:tblLayout w:type="fixed"/>
        <w:tblLook w:firstColumn="1" w:firstRow="1" w:lastColumn="0" w:lastRow="0" w:noHBand="0" w:noVBand="1" w:val="04A0"/>
      </w:tblPr>
      <w:tblGrid>
        <w:gridCol w:w="2600"/>
        <w:gridCol w:w="7200"/>
      </w:tblGrid>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Nombre:</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Marco Garcia</w:t>
            </w:r>
          </w:p>
        </w:tc>
      </w:tr>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NIA:</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[NIA]</w:t>
            </w:r>
          </w:p>
        </w:tc>
      </w:tr>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Correo electrónico:</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[correo]@alumnos.uc3m.es</w:t>
            </w:r>
          </w:p>
        </w:tc>
      </w:tr>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Grupo de clase:</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[Grupo]</w:t>
            </w:r>
          </w:p>
        </w:tc>
      </w:tr>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Titulación cursada:</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Grado en Ingeniería Informática</w:t>
            </w:r>
          </w:p>
        </w:tc>
      </w:tr>
    </w:tbl>
    <w:p/>
    <w:tbl>
      <w:tblPr>
        <w:tblStyle w:val="TableGrid"/>
        <w:tblW w:type="dxa" w:w="9800"/>
        <w:jc w:val="center"/>
        <w:tblLayout w:type="fixed"/>
        <w:tblLook w:firstColumn="1" w:firstRow="1" w:lastColumn="0" w:lastRow="0" w:noHBand="0" w:noVBand="1" w:val="04A0"/>
      </w:tblPr>
      <w:tblGrid>
        <w:gridCol w:w="2600"/>
        <w:gridCol w:w="7200"/>
      </w:tblGrid>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Nombre:</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Pablo Roig</w:t>
            </w:r>
          </w:p>
        </w:tc>
      </w:tr>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NIA:</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[NIA]</w:t>
            </w:r>
          </w:p>
        </w:tc>
      </w:tr>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Correo electrónico:</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[correo]@alumnos.uc3m.es</w:t>
            </w:r>
          </w:p>
        </w:tc>
      </w:tr>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Grupo de clase:</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[Grupo]</w:t>
            </w:r>
          </w:p>
        </w:tc>
      </w:tr>
      <w:tr>
        <w:tc>
          <w:tcPr>
            <w:tcW w:type="dxa" w:w="2600"/>
            <w:shd w:val="clear" w:color="auto" w:fill="DEEAF1"/>
            <w:tcMar>
              <w:top w:w="90" w:type="dxa"/>
              <w:start w:w="120" w:type="dxa"/>
              <w:bottom w:w="90" w:type="dxa"/>
              <w:end w:w="120" w:type="dxa"/>
            </w:tcMar>
            <w:vAlign w:val="center"/>
          </w:tcPr>
          <w:p>
            <w:pPr>
              <w:jc w:val="left"/>
            </w:pPr>
            <w:r>
              <w:rPr>
                <w:rFonts w:ascii="Calibri" w:hAnsi="Calibri" w:eastAsia="Calibri"/>
                <w:b/>
                <w:i w:val="0"/>
                <w:sz w:val="18"/>
              </w:rPr>
              <w:t>Titulación cursada:</w:t>
            </w:r>
          </w:p>
        </w:tc>
        <w:tc>
          <w:tcPr>
            <w:tcW w:type="dxa" w:w="7200"/>
            <w:shd w:val="clear" w:color="auto" w:fill="DEEAF1"/>
            <w:tcMar>
              <w:top w:w="90" w:type="dxa"/>
              <w:start w:w="120" w:type="dxa"/>
              <w:bottom w:w="90" w:type="dxa"/>
              <w:end w:w="120" w:type="dxa"/>
            </w:tcMar>
            <w:vAlign w:val="center"/>
          </w:tcPr>
          <w:p>
            <w:pPr>
              <w:jc w:val="left"/>
            </w:pPr>
            <w:r>
              <w:rPr>
                <w:rFonts w:ascii="Calibri" w:hAnsi="Calibri" w:eastAsia="Calibri"/>
                <w:b w:val="0"/>
                <w:i w:val="0"/>
                <w:sz w:val="16"/>
              </w:rPr>
              <w:t>Grado en Ingeniería Informática</w:t>
            </w:r>
          </w:p>
        </w:tc>
      </w:tr>
    </w:tbl>
    <w:p/>
    <w:p>
      <w:r>
        <w:br w:type="page"/>
      </w:r>
    </w:p>
    <w:p>
      <w:pPr>
        <w:pStyle w:val="Heading1"/>
        <w:spacing w:before="140" w:after="100"/>
        <w:jc w:val="left"/>
      </w:pPr>
      <w:r>
        <w:rPr>
          <w:rFonts w:ascii="Calibri" w:hAnsi="Calibri" w:eastAsia="Calibri"/>
          <w:b/>
          <w:i w:val="0"/>
          <w:color w:val="1F3964"/>
          <w:sz w:val="30"/>
        </w:rPr>
        <w:t>Índice</w:t>
      </w:r>
    </w:p>
    <w:p>
      <w:pPr>
        <w:pStyle w:val="ListNumber"/>
        <w:spacing w:after="20"/>
      </w:pPr>
      <w:r>
        <w:rPr>
          <w:rFonts w:ascii="Calibri" w:hAnsi="Calibri" w:eastAsia="Calibri"/>
          <w:b w:val="0"/>
          <w:i w:val="0"/>
          <w:sz w:val="21"/>
        </w:rPr>
        <w:t>Introducción y objetivos</w:t>
      </w:r>
    </w:p>
    <w:p>
      <w:pPr>
        <w:pStyle w:val="ListNumber"/>
        <w:spacing w:after="20"/>
      </w:pPr>
      <w:r>
        <w:rPr>
          <w:rFonts w:ascii="Calibri" w:hAnsi="Calibri" w:eastAsia="Calibri"/>
          <w:b w:val="0"/>
          <w:i w:val="0"/>
          <w:sz w:val="21"/>
        </w:rPr>
        <w:t>Estructura general de la solución</w:t>
      </w:r>
    </w:p>
    <w:p>
      <w:pPr>
        <w:pStyle w:val="ListNumber"/>
        <w:spacing w:after="20"/>
      </w:pPr>
      <w:r>
        <w:rPr>
          <w:rFonts w:ascii="Calibri" w:hAnsi="Calibri" w:eastAsia="Calibri"/>
          <w:b w:val="0"/>
          <w:i w:val="0"/>
          <w:sz w:val="21"/>
        </w:rPr>
        <w:t>Integración con P1 y P2</w:t>
      </w:r>
    </w:p>
    <w:p>
      <w:pPr>
        <w:pStyle w:val="ListNumber"/>
        <w:spacing w:after="20"/>
      </w:pPr>
      <w:r>
        <w:rPr>
          <w:rFonts w:ascii="Calibri" w:hAnsi="Calibri" w:eastAsia="Calibri"/>
          <w:b w:val="0"/>
          <w:i w:val="0"/>
          <w:sz w:val="21"/>
        </w:rPr>
        <w:t>Modelo de análisis semántico</w:t>
      </w:r>
    </w:p>
    <w:p>
      <w:pPr>
        <w:pStyle w:val="ListNumber"/>
        <w:spacing w:after="20"/>
      </w:pPr>
      <w:r>
        <w:rPr>
          <w:rFonts w:ascii="Calibri" w:hAnsi="Calibri" w:eastAsia="Calibri"/>
          <w:b w:val="0"/>
          <w:i w:val="0"/>
          <w:sz w:val="21"/>
        </w:rPr>
        <w:t>Tablas de símbolos, registros y funciones</w:t>
      </w:r>
    </w:p>
    <w:p>
      <w:pPr>
        <w:pStyle w:val="ListNumber"/>
        <w:spacing w:after="20"/>
      </w:pPr>
      <w:r>
        <w:rPr>
          <w:rFonts w:ascii="Calibri" w:hAnsi="Calibri" w:eastAsia="Calibri"/>
          <w:b w:val="0"/>
          <w:i w:val="0"/>
          <w:sz w:val="21"/>
        </w:rPr>
        <w:t>Sistema de tipos y conversiones</w:t>
      </w:r>
    </w:p>
    <w:p>
      <w:pPr>
        <w:pStyle w:val="ListNumber"/>
        <w:spacing w:after="20"/>
      </w:pPr>
      <w:r>
        <w:rPr>
          <w:rFonts w:ascii="Calibri" w:hAnsi="Calibri" w:eastAsia="Calibri"/>
          <w:b w:val="0"/>
          <w:i w:val="0"/>
          <w:sz w:val="21"/>
        </w:rPr>
        <w:t>Validación de expresiones, sentencias y control de flujo</w:t>
      </w:r>
    </w:p>
    <w:p>
      <w:pPr>
        <w:pStyle w:val="ListNumber"/>
        <w:spacing w:after="20"/>
      </w:pPr>
      <w:r>
        <w:rPr>
          <w:rFonts w:ascii="Calibri" w:hAnsi="Calibri" w:eastAsia="Calibri"/>
          <w:b w:val="0"/>
          <w:i w:val="0"/>
          <w:sz w:val="21"/>
        </w:rPr>
        <w:t>Tratamiento de errores y modo de ejecución</w:t>
      </w:r>
    </w:p>
    <w:p>
      <w:pPr>
        <w:pStyle w:val="ListNumber"/>
        <w:spacing w:after="20"/>
      </w:pPr>
      <w:r>
        <w:rPr>
          <w:rFonts w:ascii="Calibri" w:hAnsi="Calibri" w:eastAsia="Calibri"/>
          <w:b w:val="0"/>
          <w:i w:val="0"/>
          <w:sz w:val="21"/>
        </w:rPr>
        <w:t>Generación opcional de código intermedio</w:t>
      </w:r>
    </w:p>
    <w:p>
      <w:pPr>
        <w:pStyle w:val="ListNumber"/>
        <w:spacing w:after="20"/>
      </w:pPr>
      <w:r>
        <w:rPr>
          <w:rFonts w:ascii="Calibri" w:hAnsi="Calibri" w:eastAsia="Calibri"/>
          <w:b w:val="0"/>
          <w:i w:val="0"/>
          <w:sz w:val="21"/>
        </w:rPr>
        <w:t>Batería de pruebas</w:t>
      </w:r>
    </w:p>
    <w:p>
      <w:pPr>
        <w:pStyle w:val="ListNumber"/>
        <w:spacing w:after="20"/>
      </w:pPr>
      <w:r>
        <w:rPr>
          <w:rFonts w:ascii="Calibri" w:hAnsi="Calibri" w:eastAsia="Calibri"/>
          <w:b w:val="0"/>
          <w:i w:val="0"/>
          <w:sz w:val="21"/>
        </w:rPr>
        <w:t>Decisiones de diseño, limitaciones y conclusiones</w:t>
      </w:r>
    </w:p>
    <w:tbl>
      <w:tblPr>
        <w:tblStyle w:val="TableGrid"/>
        <w:tblW w:type="auto" w:w="0"/>
        <w:tblLook w:firstColumn="1" w:firstRow="1" w:lastColumn="0" w:lastRow="0" w:noHBand="0" w:noVBand="1" w:val="04A0"/>
      </w:tblPr>
      <w:tblGrid>
        <w:gridCol w:w="9292"/>
      </w:tblGrid>
      <w:tr>
        <w:tc>
          <w:tcPr>
            <w:tcW w:type="dxa" w:w="9292"/>
            <w:shd w:val="clear" w:color="auto" w:fill="EAF2F8"/>
            <w:tcMar>
              <w:top w:w="140" w:type="dxa"/>
              <w:start w:w="170" w:type="dxa"/>
              <w:bottom w:w="140" w:type="dxa"/>
              <w:end w:w="170" w:type="dxa"/>
            </w:tcMar>
          </w:tcPr>
          <w:p>
            <w:r>
              <w:t>Resumen ejecutivo</w:t>
              <w:br/>
              <w:t>La P3 completa el compilador Lava con una fase semántica sobre el arbol estructural producido por el parser. Se implementan ámbitos, tablas de registros y funciones, resolución de sobrecarga, comprobacion de tipos, promocion int a float, validación de constructores, acceso a campos, control de return/break y una extensión opcional para emitir código intermedio de tres direcciones simplificado.</w:t>
            </w:r>
            <w:r>
              <w:rPr>
                <w:rFonts w:ascii="Calibri" w:hAnsi="Calibri" w:eastAsia="Calibri"/>
                <w:b/>
                <w:i w:val="0"/>
                <w:color w:val="1F3964"/>
                <w:sz w:val="22"/>
              </w:rPr>
            </w:r>
            <w:r/>
            <w:r>
              <w:rPr>
                <w:rFonts w:ascii="Calibri" w:hAnsi="Calibri" w:eastAsia="Calibri"/>
                <w:b w:val="0"/>
                <w:i w:val="0"/>
                <w:sz w:val="20"/>
              </w:rPr>
            </w:r>
          </w:p>
        </w:tc>
      </w:tr>
    </w:tbl>
    <w:p>
      <w:pPr>
        <w:spacing w:after="40"/>
      </w:pPr>
    </w:p>
    <w:p>
      <w:r>
        <w:br w:type="page"/>
      </w:r>
    </w:p>
    <w:p>
      <w:pPr>
        <w:pStyle w:val="Heading1"/>
        <w:spacing w:before="140" w:after="100"/>
        <w:jc w:val="left"/>
      </w:pPr>
      <w:r>
        <w:rPr>
          <w:rFonts w:ascii="Calibri" w:hAnsi="Calibri" w:eastAsia="Calibri"/>
          <w:b/>
          <w:i w:val="0"/>
          <w:color w:val="1F3964"/>
          <w:sz w:val="30"/>
        </w:rPr>
        <w:t>1. Introducción y objetivos</w:t>
      </w:r>
    </w:p>
    <w:p>
      <w:pPr>
        <w:spacing w:before="0" w:after="120" w:line="259" w:lineRule="auto"/>
        <w:jc w:val="both"/>
      </w:pPr>
      <w:r>
        <w:rPr>
          <w:rFonts w:ascii="Calibri" w:hAnsi="Calibri" w:eastAsia="Calibri"/>
          <w:b w:val="0"/>
          <w:i w:val="0"/>
          <w:sz w:val="22"/>
        </w:rPr>
        <w:t>Esta memoria documenta la tercera entrega de la práctica de Procesadores del Lenguaje, centrada en ampliar el lexer y parser desarrollados en P1 y P2 con una fase de análisis semántico para el lenguaje Lava. El objetivo principal es que el programa no se limite a reconocer una secuencia sintácticamente valida, sino que también compruebe si las construcciones tienen sentido según las reglas de tipos, declaraciones, ámbitos y uso de funciones definidas en el enunciado.</w:t>
      </w:r>
    </w:p>
    <w:p>
      <w:pPr>
        <w:spacing w:before="0" w:after="120" w:line="259" w:lineRule="auto"/>
        <w:jc w:val="both"/>
      </w:pPr>
      <w:r>
        <w:rPr>
          <w:rFonts w:ascii="Calibri" w:hAnsi="Calibri" w:eastAsia="Calibri"/>
          <w:b w:val="0"/>
          <w:i w:val="0"/>
          <w:sz w:val="22"/>
        </w:rPr>
        <w:t>El analizador acepta programas válidos sin producir salida y devuelve mensajes de error cuando detecta incumplimientos semánticos. Esta decisión mantiene el comportamiento solicitado para P2 y lo extiende con una validación más profunda: variables declaradas antes de usarse, asignaciones compatibles, condiciones booleanas, constructores de registros correctos, resolución de llamadas a función y control estricto de return y break.</w:t>
      </w:r>
    </w:p>
    <w:p>
      <w:pPr>
        <w:spacing w:before="0" w:after="120" w:line="259" w:lineRule="auto"/>
        <w:jc w:val="both"/>
      </w:pPr>
      <w:r>
        <w:rPr>
          <w:rFonts w:ascii="Calibri" w:hAnsi="Calibri" w:eastAsia="Calibri"/>
          <w:b w:val="0"/>
          <w:i w:val="0"/>
          <w:sz w:val="22"/>
        </w:rPr>
        <w:t>Además, se ha incorporado el apartado opcional de generación de código intermedio. Este modo no sustituye al análisis semántico: primero se parsea el programa y se comprueba que no contiene errores; solo entonces se emite un fichero .ir. De este modo se evita generar una representación intermedia de un programa que ya se sabe incorrecto.</w:t>
      </w:r>
    </w:p>
    <w:p>
      <w:pPr>
        <w:pStyle w:val="Heading1"/>
        <w:spacing w:before="140" w:after="100"/>
        <w:jc w:val="left"/>
      </w:pPr>
      <w:r>
        <w:rPr>
          <w:rFonts w:ascii="Calibri" w:hAnsi="Calibri" w:eastAsia="Calibri"/>
          <w:b/>
          <w:i w:val="0"/>
          <w:color w:val="1F3964"/>
          <w:sz w:val="30"/>
        </w:rPr>
        <w:t>2. Estructura general de la solución</w:t>
      </w:r>
    </w:p>
    <w:p>
      <w:pPr>
        <w:spacing w:before="0" w:after="120" w:line="259" w:lineRule="auto"/>
        <w:jc w:val="both"/>
      </w:pPr>
      <w:r>
        <w:rPr>
          <w:rFonts w:ascii="Calibri" w:hAnsi="Calibri" w:eastAsia="Calibri"/>
          <w:b w:val="0"/>
          <w:i w:val="0"/>
          <w:sz w:val="22"/>
        </w:rPr>
        <w:t>La entrega se organiza en los siguientes módulos:</w:t>
      </w:r>
    </w:p>
    <w:tbl>
      <w:tblPr>
        <w:tblStyle w:val="TableGrid"/>
        <w:tblW w:type="auto" w:w="0"/>
        <w:tblLayout w:type="autofit"/>
        <w:tblLook w:firstColumn="1" w:firstRow="1" w:lastColumn="0" w:lastRow="0" w:noHBand="0" w:noVBand="1" w:val="04A0"/>
      </w:tblPr>
      <w:tblGrid>
        <w:gridCol w:w="4646"/>
        <w:gridCol w:w="4646"/>
      </w:tblGrid>
      <w:tr>
        <w:trPr>
          <w:tblHeader w:val="true"/>
        </w:trPr>
        <w:tc>
          <w:tcPr>
            <w:tcW w:type="dxa" w:w="1757"/>
            <w:shd w:val="clear" w:color="auto" w:fill="1F3964"/>
            <w:tcMar>
              <w:top w:w="90" w:type="dxa"/>
              <w:start w:w="120" w:type="dxa"/>
              <w:bottom w:w="90" w:type="dxa"/>
              <w:end w:w="120" w:type="dxa"/>
            </w:tcMar>
            <w:vAlign w:val="center"/>
          </w:tcPr>
          <w:p>
            <w:pPr>
              <w:jc w:val="center"/>
            </w:pPr>
            <w:r>
              <w:t>Módulo</w:t>
            </w:r>
            <w:r>
              <w:rPr>
                <w:rFonts w:ascii="Calibri" w:hAnsi="Calibri" w:eastAsia="Calibri"/>
                <w:b/>
                <w:i w:val="0"/>
                <w:color w:val="FFFFFF"/>
                <w:sz w:val="18"/>
              </w:rPr>
            </w:r>
          </w:p>
        </w:tc>
        <w:tc>
          <w:tcPr>
            <w:tcW w:type="dxa" w:w="6803"/>
            <w:shd w:val="clear" w:color="auto" w:fill="1F3964"/>
            <w:tcMar>
              <w:top w:w="90" w:type="dxa"/>
              <w:start w:w="120" w:type="dxa"/>
              <w:bottom w:w="90" w:type="dxa"/>
              <w:end w:w="120" w:type="dxa"/>
            </w:tcMar>
            <w:vAlign w:val="center"/>
          </w:tcPr>
          <w:p>
            <w:pPr>
              <w:jc w:val="center"/>
            </w:pPr>
            <w:r/>
            <w:r>
              <w:rPr>
                <w:rFonts w:ascii="Calibri" w:hAnsi="Calibri" w:eastAsia="Calibri"/>
                <w:b/>
                <w:i w:val="0"/>
                <w:color w:val="FFFFFF"/>
                <w:sz w:val="18"/>
              </w:rPr>
              <w:t>Responsabilidad principal</w:t>
            </w:r>
          </w:p>
        </w:tc>
      </w:tr>
      <w:tr>
        <w:tc>
          <w:tcPr>
            <w:tcW w:type="dxa" w:w="1757"/>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lexer.py</w:t>
            </w:r>
          </w:p>
        </w:tc>
        <w:tc>
          <w:tcPr>
            <w:tcW w:type="dxa" w:w="6803"/>
            <w:shd w:val="clear" w:color="auto" w:fill="F3F7FB"/>
            <w:tcMar>
              <w:top w:w="90" w:type="dxa"/>
              <w:start w:w="120" w:type="dxa"/>
              <w:bottom w:w="90" w:type="dxa"/>
              <w:end w:w="120" w:type="dxa"/>
            </w:tcMar>
            <w:vAlign w:val="center"/>
          </w:tcPr>
          <w:p>
            <w:pPr>
              <w:jc w:val="left"/>
            </w:pPr>
            <w:r>
              <w:t>Analizador léxico heredado de P1. Reconoce tokens, comentarios, literales y palabras reservadas.</w:t>
            </w:r>
            <w:r>
              <w:rPr>
                <w:rFonts w:ascii="Calibri" w:hAnsi="Calibri" w:eastAsia="Calibri"/>
                <w:b w:val="0"/>
                <w:i w:val="0"/>
                <w:sz w:val="18"/>
              </w:rPr>
            </w:r>
          </w:p>
        </w:tc>
      </w:tr>
      <w:tr>
        <w:tc>
          <w:tcPr>
            <w:tcW w:type="dxa" w:w="1757"/>
            <w:tcMar>
              <w:top w:w="90" w:type="dxa"/>
              <w:start w:w="120" w:type="dxa"/>
              <w:bottom w:w="90" w:type="dxa"/>
              <w:end w:w="120" w:type="dxa"/>
            </w:tcMar>
            <w:vAlign w:val="center"/>
          </w:tcPr>
          <w:p>
            <w:pPr>
              <w:jc w:val="left"/>
            </w:pPr>
            <w:r/>
            <w:r>
              <w:rPr>
                <w:rFonts w:ascii="Calibri" w:hAnsi="Calibri" w:eastAsia="Calibri"/>
                <w:b w:val="0"/>
                <w:i w:val="0"/>
                <w:sz w:val="18"/>
              </w:rPr>
              <w:t>parser.py</w:t>
            </w:r>
          </w:p>
        </w:tc>
        <w:tc>
          <w:tcPr>
            <w:tcW w:type="dxa" w:w="6803"/>
            <w:tcMar>
              <w:top w:w="90" w:type="dxa"/>
              <w:start w:w="120" w:type="dxa"/>
              <w:bottom w:w="90" w:type="dxa"/>
              <w:end w:w="120" w:type="dxa"/>
            </w:tcMar>
            <w:vAlign w:val="center"/>
          </w:tcPr>
          <w:p>
            <w:pPr>
              <w:jc w:val="left"/>
            </w:pPr>
            <w:r>
              <w:t>Analizador sintáctico de P2. Construye nodos estructurales con kind, line y campos especificos de cada produccion.</w:t>
            </w:r>
            <w:r>
              <w:rPr>
                <w:rFonts w:ascii="Calibri" w:hAnsi="Calibri" w:eastAsia="Calibri"/>
                <w:b w:val="0"/>
                <w:i w:val="0"/>
                <w:sz w:val="18"/>
              </w:rPr>
            </w:r>
          </w:p>
        </w:tc>
      </w:tr>
      <w:tr>
        <w:tc>
          <w:tcPr>
            <w:tcW w:type="dxa" w:w="1757"/>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semantic.py</w:t>
            </w:r>
          </w:p>
        </w:tc>
        <w:tc>
          <w:tcPr>
            <w:tcW w:type="dxa" w:w="6803"/>
            <w:shd w:val="clear" w:color="auto" w:fill="F3F7FB"/>
            <w:tcMar>
              <w:top w:w="90" w:type="dxa"/>
              <w:start w:w="120" w:type="dxa"/>
              <w:bottom w:w="90" w:type="dxa"/>
              <w:end w:w="120" w:type="dxa"/>
            </w:tcMar>
            <w:vAlign w:val="center"/>
          </w:tcPr>
          <w:p>
            <w:pPr>
              <w:jc w:val="left"/>
            </w:pPr>
            <w:r>
              <w:t>Nueva fase de P3. Contiene Scope y SemanticAnalyzer, las tablas globales y todas las comprobaciones semánticas.</w:t>
            </w:r>
            <w:r>
              <w:rPr>
                <w:rFonts w:ascii="Calibri" w:hAnsi="Calibri" w:eastAsia="Calibri"/>
                <w:b w:val="0"/>
                <w:i w:val="0"/>
                <w:sz w:val="18"/>
              </w:rPr>
            </w:r>
          </w:p>
        </w:tc>
      </w:tr>
      <w:tr>
        <w:tc>
          <w:tcPr>
            <w:tcW w:type="dxa" w:w="1757"/>
            <w:tcMar>
              <w:top w:w="90" w:type="dxa"/>
              <w:start w:w="120" w:type="dxa"/>
              <w:bottom w:w="90" w:type="dxa"/>
              <w:end w:w="120" w:type="dxa"/>
            </w:tcMar>
            <w:vAlign w:val="center"/>
          </w:tcPr>
          <w:p>
            <w:pPr>
              <w:jc w:val="left"/>
            </w:pPr>
            <w:r/>
            <w:r>
              <w:rPr>
                <w:rFonts w:ascii="Calibri" w:hAnsi="Calibri" w:eastAsia="Calibri"/>
                <w:b w:val="0"/>
                <w:i w:val="0"/>
                <w:sz w:val="18"/>
              </w:rPr>
              <w:t>ir.py</w:t>
            </w:r>
          </w:p>
        </w:tc>
        <w:tc>
          <w:tcPr>
            <w:tcW w:type="dxa" w:w="6803"/>
            <w:tcMar>
              <w:top w:w="90" w:type="dxa"/>
              <w:start w:w="120" w:type="dxa"/>
              <w:bottom w:w="90" w:type="dxa"/>
              <w:end w:w="120" w:type="dxa"/>
            </w:tcMar>
            <w:vAlign w:val="center"/>
          </w:tcPr>
          <w:p>
            <w:pPr>
              <w:jc w:val="left"/>
            </w:pPr>
            <w:r>
              <w:t>Generador opcional de código intermedio. Recorre los nodos ya validados y emite temporales, etiquetas, saltos y llamadas.</w:t>
            </w:r>
            <w:r>
              <w:rPr>
                <w:rFonts w:ascii="Calibri" w:hAnsi="Calibri" w:eastAsia="Calibri"/>
                <w:b w:val="0"/>
                <w:i w:val="0"/>
                <w:sz w:val="18"/>
              </w:rPr>
            </w:r>
          </w:p>
        </w:tc>
      </w:tr>
      <w:tr>
        <w:tc>
          <w:tcPr>
            <w:tcW w:type="dxa" w:w="1757"/>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main.py</w:t>
            </w:r>
          </w:p>
        </w:tc>
        <w:tc>
          <w:tcPr>
            <w:tcW w:type="dxa" w:w="6803"/>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Punto de entrada. Gestiona los modos normal, --token y --ir.</w:t>
            </w:r>
          </w:p>
        </w:tc>
      </w:tr>
      <w:tr>
        <w:tc>
          <w:tcPr>
            <w:tcW w:type="dxa" w:w="1757"/>
            <w:tcMar>
              <w:top w:w="90" w:type="dxa"/>
              <w:start w:w="120" w:type="dxa"/>
              <w:bottom w:w="90" w:type="dxa"/>
              <w:end w:w="120" w:type="dxa"/>
            </w:tcMar>
            <w:vAlign w:val="center"/>
          </w:tcPr>
          <w:p>
            <w:pPr>
              <w:jc w:val="left"/>
            </w:pPr>
            <w:r/>
            <w:r>
              <w:rPr>
                <w:rFonts w:ascii="Calibri" w:hAnsi="Calibri" w:eastAsia="Calibri"/>
                <w:b w:val="0"/>
                <w:i w:val="0"/>
                <w:sz w:val="18"/>
              </w:rPr>
              <w:t>tests/</w:t>
            </w:r>
          </w:p>
        </w:tc>
        <w:tc>
          <w:tcPr>
            <w:tcW w:type="dxa" w:w="6803"/>
            <w:tcMar>
              <w:top w:w="90" w:type="dxa"/>
              <w:start w:w="120" w:type="dxa"/>
              <w:bottom w:w="90" w:type="dxa"/>
              <w:end w:w="120" w:type="dxa"/>
            </w:tcMar>
            <w:vAlign w:val="center"/>
          </w:tcPr>
          <w:p>
            <w:pPr>
              <w:jc w:val="left"/>
            </w:pPr>
            <w:r>
              <w:t>Batería automatizada de casos válidos, inválidos y muestra IR.</w:t>
            </w:r>
            <w:r>
              <w:rPr>
                <w:rFonts w:ascii="Calibri" w:hAnsi="Calibri" w:eastAsia="Calibri"/>
                <w:b w:val="0"/>
                <w:i w:val="0"/>
                <w:sz w:val="18"/>
              </w:rPr>
            </w:r>
          </w:p>
        </w:tc>
      </w:tr>
    </w:tbl>
    <w:p>
      <w:pPr>
        <w:spacing w:after="40"/>
      </w:pPr>
    </w:p>
    <w:p>
      <w:pPr>
        <w:spacing w:before="0" w:after="120" w:line="259" w:lineRule="auto"/>
        <w:jc w:val="both"/>
      </w:pPr>
      <w:r>
        <w:rPr>
          <w:rFonts w:ascii="Calibri" w:hAnsi="Calibri" w:eastAsia="Calibri"/>
          <w:b w:val="0"/>
          <w:i w:val="0"/>
          <w:sz w:val="22"/>
        </w:rPr>
        <w:t>El flujo completo es: entrada .lava, lexer, parser, representación estructural, analizador semántico y, opcionalmente, generación IR. La fase semántica queda desacoplada del parser para mantener la gramática clara y para poder aplicar reglas dependientes de contexto sin forzar producciones artificiales.</w:t>
      </w:r>
    </w:p>
    <w:p>
      <w:r>
        <w:br w:type="page"/>
      </w:r>
    </w:p>
    <w:p>
      <w:pPr>
        <w:pStyle w:val="Heading1"/>
        <w:spacing w:before="140" w:after="100"/>
        <w:jc w:val="left"/>
      </w:pPr>
      <w:r>
        <w:rPr>
          <w:rFonts w:ascii="Calibri" w:hAnsi="Calibri" w:eastAsia="Calibri"/>
          <w:b/>
          <w:i w:val="0"/>
          <w:color w:val="1F3964"/>
          <w:sz w:val="30"/>
        </w:rPr>
        <w:t>3. Integración con P1 y P2</w:t>
      </w:r>
    </w:p>
    <w:p>
      <w:pPr>
        <w:spacing w:before="0" w:after="120" w:line="259" w:lineRule="auto"/>
        <w:jc w:val="both"/>
      </w:pPr>
      <w:r>
        <w:rPr>
          <w:rFonts w:ascii="Calibri" w:hAnsi="Calibri" w:eastAsia="Calibri"/>
          <w:b w:val="0"/>
          <w:i w:val="0"/>
          <w:sz w:val="22"/>
        </w:rPr>
        <w:t>La P3 reutiliza el lexer de P1 y el parser de P2 como base estable. Esta continuidad es importante porque el enunciado plantea la práctica como un compilador incremental: primero se reconocen los elementos léxicos, después la estructura gramatical y finalmente la validez semántica del programa.</w:t>
      </w:r>
    </w:p>
    <w:p>
      <w:pPr>
        <w:pStyle w:val="ListBullet"/>
        <w:spacing w:after="60"/>
        <w:jc w:val="both"/>
      </w:pPr>
      <w:r>
        <w:rPr>
          <w:rFonts w:ascii="Calibri" w:hAnsi="Calibri" w:eastAsia="Calibri"/>
          <w:b/>
          <w:i w:val="0"/>
          <w:sz w:val="22"/>
        </w:rPr>
        <w:t>Lexer: se conservan los tokens de Lava, incluyendo tipos primitivos, literales, operadores aritméticos/lógicos/comparativos, delimitadores, record, new, print, break, return e identificadores.</w:t>
      </w:r>
      <w:r>
        <w:rPr>
          <w:rFonts w:ascii="Calibri" w:hAnsi="Calibri" w:eastAsia="Calibri"/>
          <w:b w:val="0"/>
          <w:i w:val="0"/>
          <w:sz w:val="22"/>
        </w:rPr>
      </w:r>
    </w:p>
    <w:p>
      <w:pPr>
        <w:pStyle w:val="ListBullet"/>
        <w:spacing w:after="60"/>
        <w:jc w:val="both"/>
      </w:pPr>
      <w:r>
        <w:rPr>
          <w:rFonts w:ascii="Calibri" w:hAnsi="Calibri" w:eastAsia="Calibri"/>
          <w:b/>
          <w:i w:val="0"/>
          <w:sz w:val="22"/>
        </w:rPr>
        <w:t>Parser: se mantiene la gramática LALR(1), la precedencia de operadores y la separación entre primitive_type y custom_type para imponer la inicialización obligatoria de registros.</w:t>
      </w:r>
      <w:r>
        <w:rPr>
          <w:rFonts w:ascii="Calibri" w:hAnsi="Calibri" w:eastAsia="Calibri"/>
          <w:b w:val="0"/>
          <w:i w:val="0"/>
          <w:sz w:val="22"/>
        </w:rPr>
      </w:r>
    </w:p>
    <w:p>
      <w:pPr>
        <w:pStyle w:val="ListBullet"/>
        <w:spacing w:after="60"/>
        <w:jc w:val="both"/>
      </w:pPr>
      <w:r>
        <w:rPr>
          <w:rFonts w:ascii="Calibri" w:hAnsi="Calibri" w:eastAsia="Calibri"/>
          <w:b/>
          <w:i w:val="0"/>
          <w:sz w:val="22"/>
        </w:rPr>
        <w:t>Nodos: se aprovecha la función node(kind, line, **data), que permite mantener una representación uniforme y suficiente para recorrer el programa sin depender de detalles internos de PLY.</w:t>
      </w:r>
      <w:r>
        <w:rPr>
          <w:rFonts w:ascii="Calibri" w:hAnsi="Calibri" w:eastAsia="Calibri"/>
          <w:b w:val="0"/>
          <w:i w:val="0"/>
          <w:sz w:val="22"/>
        </w:rPr>
      </w:r>
    </w:p>
    <w:p>
      <w:pPr>
        <w:spacing w:before="60" w:after="120"/>
        <w:jc w:val="left"/>
        <w:shd w:val="clear" w:color="auto" w:fill="F2F2F2"/>
      </w:pPr>
      <w:r>
        <w:rPr>
          <w:rFonts w:ascii="Courier New" w:hAnsi="Courier New" w:eastAsia="Courier New"/>
          <w:b w:val="0"/>
          <w:i w:val="0"/>
          <w:sz w:val="17"/>
        </w:rPr>
        <w:t>def node(kind, line, **data):</w:t>
      </w:r>
      <w:r>
        <w:br/>
      </w:r>
      <w:r>
        <w:rPr>
          <w:rFonts w:ascii="Courier New" w:hAnsi="Courier New" w:eastAsia="Courier New"/>
          <w:b w:val="0"/>
          <w:i w:val="0"/>
          <w:sz w:val="17"/>
        </w:rPr>
        <w:t xml:space="preserve">    value = {"kind": kind, "line": line}</w:t>
      </w:r>
      <w:r>
        <w:br/>
      </w:r>
      <w:r>
        <w:rPr>
          <w:rFonts w:ascii="Courier New" w:hAnsi="Courier New" w:eastAsia="Courier New"/>
          <w:b w:val="0"/>
          <w:i w:val="0"/>
          <w:sz w:val="17"/>
        </w:rPr>
        <w:t xml:space="preserve">    value.update(data)</w:t>
      </w:r>
      <w:r>
        <w:br/>
      </w:r>
      <w:r>
        <w:rPr>
          <w:rFonts w:ascii="Courier New" w:hAnsi="Courier New" w:eastAsia="Courier New"/>
          <w:b w:val="0"/>
          <w:i w:val="0"/>
          <w:sz w:val="17"/>
        </w:rPr>
        <w:t xml:space="preserve">    return value</w:t>
      </w:r>
    </w:p>
    <w:p>
      <w:pPr>
        <w:spacing w:before="0" w:after="120" w:line="259" w:lineRule="auto"/>
        <w:jc w:val="both"/>
      </w:pPr>
      <w:r>
        <w:rPr>
          <w:rFonts w:ascii="Calibri" w:hAnsi="Calibri" w:eastAsia="Calibri"/>
          <w:b w:val="0"/>
          <w:i w:val="0"/>
          <w:sz w:val="22"/>
        </w:rPr>
        <w:t>La memoria de P2 ya justificaba que ciertas reglas de contexto se pospusieran a P3. Esta entrega cierra esa decisión: break, return, existencia de tipos, compatibilidad de operadores y resolución de funciones se comprueban en semantic.py, donde si existe información de ámbitos y tipos.</w:t>
      </w:r>
    </w:p>
    <w:p>
      <w:pPr>
        <w:pStyle w:val="Heading1"/>
        <w:spacing w:before="140" w:after="100"/>
        <w:jc w:val="left"/>
      </w:pPr>
      <w:r>
        <w:rPr>
          <w:rFonts w:ascii="Calibri" w:hAnsi="Calibri" w:eastAsia="Calibri"/>
          <w:b/>
          <w:i w:val="0"/>
          <w:color w:val="1F3964"/>
          <w:sz w:val="30"/>
        </w:rPr>
        <w:t>4. Modelo de análisis semántico</w:t>
      </w:r>
    </w:p>
    <w:p>
      <w:pPr>
        <w:spacing w:before="0" w:after="120" w:line="259" w:lineRule="auto"/>
        <w:jc w:val="both"/>
      </w:pPr>
      <w:r>
        <w:rPr>
          <w:rFonts w:ascii="Calibri" w:hAnsi="Calibri" w:eastAsia="Calibri"/>
          <w:b w:val="0"/>
          <w:i w:val="0"/>
          <w:sz w:val="22"/>
        </w:rPr>
        <w:t>El analizador semántico se implementa mediante la clase SemanticAnalyzer. La estrategia sigue tres pasos: primero se recolectan registros y funciones globales; después se analizan las declaraciones y sentencias de nivel superior; por último se recorren los cuerpos de las funciones con sus parámetros y ámbitos locales.</w:t>
      </w:r>
    </w:p>
    <w:p>
      <w:pPr>
        <w:spacing w:before="60" w:after="120"/>
        <w:jc w:val="left"/>
        <w:shd w:val="clear" w:color="auto" w:fill="F2F2F2"/>
      </w:pPr>
      <w:r>
        <w:rPr>
          <w:rFonts w:ascii="Courier New" w:hAnsi="Courier New" w:eastAsia="Courier New"/>
          <w:b w:val="0"/>
          <w:i w:val="0"/>
          <w:sz w:val="17"/>
        </w:rPr>
        <w:t>def analyze(self, program):</w:t>
      </w:r>
      <w:r>
        <w:br/>
      </w:r>
      <w:r>
        <w:rPr>
          <w:rFonts w:ascii="Courier New" w:hAnsi="Courier New" w:eastAsia="Courier New"/>
          <w:b w:val="0"/>
          <w:i w:val="0"/>
          <w:sz w:val="17"/>
        </w:rPr>
        <w:t xml:space="preserve">    self.collect_records_and_functions(program)</w:t>
      </w:r>
      <w:r>
        <w:br/>
      </w:r>
      <w:r>
        <w:rPr>
          <w:rFonts w:ascii="Courier New" w:hAnsi="Courier New" w:eastAsia="Courier New"/>
          <w:b w:val="0"/>
          <w:i w:val="0"/>
          <w:sz w:val="17"/>
        </w:rPr>
        <w:t xml:space="preserve">    self.analyze_top_level(program)</w:t>
      </w:r>
      <w:r>
        <w:br/>
      </w:r>
      <w:r>
        <w:rPr>
          <w:rFonts w:ascii="Courier New" w:hAnsi="Courier New" w:eastAsia="Courier New"/>
          <w:b w:val="0"/>
          <w:i w:val="0"/>
          <w:sz w:val="17"/>
        </w:rPr>
        <w:t xml:space="preserve">    self.analyze_functions(program)</w:t>
      </w:r>
      <w:r>
        <w:br/>
      </w:r>
      <w:r>
        <w:rPr>
          <w:rFonts w:ascii="Courier New" w:hAnsi="Courier New" w:eastAsia="Courier New"/>
          <w:b w:val="0"/>
          <w:i w:val="0"/>
          <w:sz w:val="17"/>
        </w:rPr>
        <w:t xml:space="preserve">    return self.errors</w:t>
      </w:r>
    </w:p>
    <w:p>
      <w:pPr>
        <w:spacing w:before="0" w:after="120" w:line="259" w:lineRule="auto"/>
        <w:jc w:val="both"/>
      </w:pPr>
      <w:r>
        <w:rPr>
          <w:rFonts w:ascii="Calibri" w:hAnsi="Calibri" w:eastAsia="Calibri"/>
          <w:b w:val="0"/>
          <w:i w:val="0"/>
          <w:sz w:val="22"/>
        </w:rPr>
        <w:t>La recolección inicial permite que una llamada a función pueda resolverse aunque la declaración aparezca más adelante en el fichero. En cambio, para los registros se respeta la restricción de uso antes de declaración en los constructores new, porque el enunciado indica que los campos de registro pueden ser de otro registro previamente definido.</w:t>
      </w:r>
    </w:p>
    <w:p>
      <w:r>
        <w:br w:type="page"/>
      </w:r>
    </w:p>
    <w:p>
      <w:pPr>
        <w:pStyle w:val="Heading1"/>
        <w:spacing w:before="140" w:after="100"/>
        <w:jc w:val="left"/>
      </w:pPr>
      <w:r>
        <w:rPr>
          <w:rFonts w:ascii="Calibri" w:hAnsi="Calibri" w:eastAsia="Calibri"/>
          <w:b/>
          <w:i w:val="0"/>
          <w:color w:val="1F3964"/>
          <w:sz w:val="30"/>
        </w:rPr>
        <w:t>5. Tablas de símbolos, registros y funciones</w:t>
      </w:r>
    </w:p>
    <w:p>
      <w:pPr>
        <w:pStyle w:val="Heading2"/>
        <w:spacing w:before="80" w:after="60"/>
        <w:jc w:val="left"/>
      </w:pPr>
      <w:r>
        <w:rPr>
          <w:rFonts w:ascii="Calibri" w:hAnsi="Calibri" w:eastAsia="Calibri"/>
          <w:b/>
          <w:i w:val="0"/>
          <w:color w:val="1F3964"/>
          <w:sz w:val="24"/>
        </w:rPr>
        <w:t>5.1. Ámbitos y tabla de símbolos</w:t>
      </w:r>
    </w:p>
    <w:p>
      <w:pPr>
        <w:spacing w:before="0" w:after="120" w:line="259" w:lineRule="auto"/>
        <w:jc w:val="both"/>
      </w:pPr>
      <w:r>
        <w:rPr>
          <w:rFonts w:ascii="Calibri" w:hAnsi="Calibri" w:eastAsia="Calibri"/>
          <w:b w:val="0"/>
          <w:i w:val="0"/>
          <w:sz w:val="22"/>
        </w:rPr>
        <w:t>La clase Scope modela una tabla de símbolos con enlace al ámbito padre. Cada bloque puede crear un nuevo Scope, lo que permite declarar variables locales sin contaminar el ámbito global y consultar identificadores de forma ascendente cuando no estan en el bloque actual.</w:t>
      </w:r>
    </w:p>
    <w:tbl>
      <w:tblPr>
        <w:tblStyle w:val="TableGrid"/>
        <w:tblW w:type="auto" w:w="0"/>
        <w:tblLayout w:type="autofit"/>
        <w:tblLook w:firstColumn="1" w:firstRow="1" w:lastColumn="0" w:lastRow="0" w:noHBand="0" w:noVBand="1" w:val="04A0"/>
      </w:tblPr>
      <w:tblGrid>
        <w:gridCol w:w="4646"/>
        <w:gridCol w:w="4646"/>
      </w:tblGrid>
      <w:tr>
        <w:trPr>
          <w:tblHeader w:val="true"/>
        </w:trPr>
        <w:tc>
          <w:tcPr>
            <w:tcW w:type="dxa" w:w="4646"/>
            <w:shd w:val="clear" w:color="auto" w:fill="1F3964"/>
            <w:tcMar>
              <w:top w:w="90" w:type="dxa"/>
              <w:start w:w="120" w:type="dxa"/>
              <w:bottom w:w="90" w:type="dxa"/>
              <w:end w:w="120" w:type="dxa"/>
            </w:tcMar>
            <w:vAlign w:val="center"/>
          </w:tcPr>
          <w:p>
            <w:pPr>
              <w:jc w:val="center"/>
            </w:pPr>
            <w:r>
              <w:t>Operación</w:t>
            </w:r>
            <w:r>
              <w:rPr>
                <w:rFonts w:ascii="Calibri" w:hAnsi="Calibri" w:eastAsia="Calibri"/>
                <w:b/>
                <w:i w:val="0"/>
                <w:color w:val="FFFFFF"/>
                <w:sz w:val="18"/>
              </w:rPr>
            </w:r>
          </w:p>
        </w:tc>
        <w:tc>
          <w:tcPr>
            <w:tcW w:type="dxa" w:w="4646"/>
            <w:shd w:val="clear" w:color="auto" w:fill="1F3964"/>
            <w:tcMar>
              <w:top w:w="90" w:type="dxa"/>
              <w:start w:w="120" w:type="dxa"/>
              <w:bottom w:w="90" w:type="dxa"/>
              <w:end w:w="120" w:type="dxa"/>
            </w:tcMar>
            <w:vAlign w:val="center"/>
          </w:tcPr>
          <w:p>
            <w:pPr>
              <w:jc w:val="center"/>
            </w:pPr>
            <w:r/>
            <w:r>
              <w:rPr>
                <w:rFonts w:ascii="Calibri" w:hAnsi="Calibri" w:eastAsia="Calibri"/>
                <w:b/>
                <w:i w:val="0"/>
                <w:color w:val="FFFFFF"/>
                <w:sz w:val="18"/>
              </w:rPr>
              <w:t>Comportamiento</w:t>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declare(name, type_name, line, errors)</w:t>
            </w:r>
          </w:p>
        </w:tc>
        <w:tc>
          <w:tcPr>
            <w:tcW w:type="dxa" w:w="4646"/>
            <w:shd w:val="clear" w:color="auto" w:fill="F3F7FB"/>
            <w:tcMar>
              <w:top w:w="90" w:type="dxa"/>
              <w:start w:w="120" w:type="dxa"/>
              <w:bottom w:w="90" w:type="dxa"/>
              <w:end w:w="120" w:type="dxa"/>
            </w:tcMar>
            <w:vAlign w:val="center"/>
          </w:tcPr>
          <w:p>
            <w:pPr>
              <w:jc w:val="left"/>
            </w:pPr>
            <w:r>
              <w:t>Inserta un simbolo si no existe ya en el mismo ámbito. Si existe, registra un error de redeclaración.</w:t>
            </w:r>
            <w:r>
              <w:rPr>
                <w:rFonts w:ascii="Calibri" w:hAnsi="Calibri" w:eastAsia="Calibri"/>
                <w:b w:val="0"/>
                <w:i w:val="0"/>
                <w:sz w:val="18"/>
              </w:rPr>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lookup(name)</w:t>
            </w:r>
          </w:p>
        </w:tc>
        <w:tc>
          <w:tcPr>
            <w:tcW w:type="dxa" w:w="4646"/>
            <w:tcMar>
              <w:top w:w="90" w:type="dxa"/>
              <w:start w:w="120" w:type="dxa"/>
              <w:bottom w:w="90" w:type="dxa"/>
              <w:end w:w="120" w:type="dxa"/>
            </w:tcMar>
            <w:vAlign w:val="center"/>
          </w:tcPr>
          <w:p>
            <w:pPr>
              <w:jc w:val="left"/>
            </w:pPr>
            <w:r>
              <w:t>Busca primero en el ámbito actual y, si no aparece, continua por los padres hasta llegar al global.</w:t>
            </w:r>
            <w:r>
              <w:rPr>
                <w:rFonts w:ascii="Calibri" w:hAnsi="Calibri" w:eastAsia="Calibri"/>
                <w:b w:val="0"/>
                <w:i w:val="0"/>
                <w:sz w:val="18"/>
              </w:rPr>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global_names</w:t>
            </w:r>
          </w:p>
        </w:tc>
        <w:tc>
          <w:tcPr>
            <w:tcW w:type="dxa" w:w="4646"/>
            <w:shd w:val="clear" w:color="auto" w:fill="F3F7FB"/>
            <w:tcMar>
              <w:top w:w="90" w:type="dxa"/>
              <w:start w:w="120" w:type="dxa"/>
              <w:bottom w:w="90" w:type="dxa"/>
              <w:end w:w="120" w:type="dxa"/>
            </w:tcMar>
            <w:vAlign w:val="center"/>
          </w:tcPr>
          <w:p>
            <w:pPr>
              <w:jc w:val="left"/>
            </w:pPr>
            <w:r>
              <w:t>Evita que registros, variables globales y funciones colisionen entre categorías, salvo sobrecarga de funciones.</w:t>
            </w:r>
            <w:r>
              <w:rPr>
                <w:rFonts w:ascii="Calibri" w:hAnsi="Calibri" w:eastAsia="Calibri"/>
                <w:b w:val="0"/>
                <w:i w:val="0"/>
                <w:sz w:val="18"/>
              </w:rPr>
            </w:r>
          </w:p>
        </w:tc>
      </w:tr>
    </w:tbl>
    <w:p>
      <w:pPr>
        <w:spacing w:after="40"/>
      </w:pPr>
    </w:p>
    <w:p>
      <w:pPr>
        <w:pStyle w:val="Heading2"/>
        <w:spacing w:before="80" w:after="60"/>
        <w:jc w:val="left"/>
      </w:pPr>
      <w:r>
        <w:rPr>
          <w:rFonts w:ascii="Calibri" w:hAnsi="Calibri" w:eastAsia="Calibri"/>
          <w:b/>
          <w:i w:val="0"/>
          <w:color w:val="1F3964"/>
          <w:sz w:val="24"/>
        </w:rPr>
        <w:t>5.2. Registros</w:t>
      </w:r>
    </w:p>
    <w:p>
      <w:pPr>
        <w:spacing w:before="0" w:after="120" w:line="259" w:lineRule="auto"/>
        <w:jc w:val="both"/>
      </w:pPr>
      <w:r>
        <w:rPr>
          <w:rFonts w:ascii="Calibri" w:hAnsi="Calibri" w:eastAsia="Calibri"/>
          <w:b w:val="0"/>
          <w:i w:val="0"/>
          <w:sz w:val="22"/>
        </w:rPr>
        <w:t>Los registros se almacenan en self.records con su línea de declaración, la lista ordenada de campos y un mapa por nombre de campo. Durante la recogida se comprueba que no exista otro registro con el mismo nombre, que no haya campos repetidos y que los tipos de los campos existan.</w:t>
      </w:r>
    </w:p>
    <w:p>
      <w:pPr>
        <w:pStyle w:val="Heading2"/>
        <w:spacing w:before="80" w:after="60"/>
        <w:jc w:val="left"/>
      </w:pPr>
      <w:r>
        <w:rPr>
          <w:rFonts w:ascii="Calibri" w:hAnsi="Calibri" w:eastAsia="Calibri"/>
          <w:b/>
          <w:i w:val="0"/>
          <w:color w:val="1F3964"/>
          <w:sz w:val="24"/>
        </w:rPr>
        <w:t>5.3. Funciones y sobrecarga</w:t>
      </w:r>
    </w:p>
    <w:p>
      <w:pPr>
        <w:spacing w:before="0" w:after="120" w:line="259" w:lineRule="auto"/>
        <w:jc w:val="both"/>
      </w:pPr>
      <w:r>
        <w:rPr>
          <w:rFonts w:ascii="Calibri" w:hAnsi="Calibri" w:eastAsia="Calibri"/>
          <w:b w:val="0"/>
          <w:i w:val="0"/>
          <w:sz w:val="22"/>
        </w:rPr>
        <w:t>Las funciones se guardan por nombre en self.functions, donde cada entrada contiene varias firmas posibles. La firma relevante es la tupla de tipos de parámetros, lo que permite sobrecarga cuando cambia la aridad o cambia al menos uno de los tipos. Si se repite exactamente la misma firma, se informa de función duplicada.</w:t>
      </w:r>
    </w:p>
    <w:tbl>
      <w:tblPr>
        <w:tblStyle w:val="TableGrid"/>
        <w:tblW w:type="auto" w:w="0"/>
        <w:tblLook w:firstColumn="1" w:firstRow="1" w:lastColumn="0" w:lastRow="0" w:noHBand="0" w:noVBand="1" w:val="04A0"/>
      </w:tblPr>
      <w:tblGrid>
        <w:gridCol w:w="9292"/>
      </w:tblGrid>
      <w:tr>
        <w:tc>
          <w:tcPr>
            <w:tcW w:type="dxa" w:w="9292"/>
            <w:shd w:val="clear" w:color="auto" w:fill="EAF2F8"/>
            <w:tcMar>
              <w:top w:w="140" w:type="dxa"/>
              <w:start w:w="170" w:type="dxa"/>
              <w:bottom w:w="140" w:type="dxa"/>
              <w:end w:w="170" w:type="dxa"/>
            </w:tcMar>
          </w:tcPr>
          <w:p>
            <w:r>
              <w:t>Decision de diseño</w:t>
              <w:br/>
              <w:t>Se permite que varias funciones compartan nombre, pero no que una variable global o un registro reutilice ese mismo identificador. Esto evita ambiguedades entre categorías y mantiene limpia la resolución semántica.</w:t>
            </w:r>
            <w:r>
              <w:rPr>
                <w:rFonts w:ascii="Calibri" w:hAnsi="Calibri" w:eastAsia="Calibri"/>
                <w:b/>
                <w:i w:val="0"/>
                <w:color w:val="1F3964"/>
                <w:sz w:val="22"/>
              </w:rPr>
            </w:r>
            <w:r/>
            <w:r>
              <w:rPr>
                <w:rFonts w:ascii="Calibri" w:hAnsi="Calibri" w:eastAsia="Calibri"/>
                <w:b w:val="0"/>
                <w:i w:val="0"/>
                <w:sz w:val="20"/>
              </w:rPr>
            </w:r>
          </w:p>
        </w:tc>
      </w:tr>
    </w:tbl>
    <w:p>
      <w:pPr>
        <w:spacing w:after="40"/>
      </w:pPr>
    </w:p>
    <w:p>
      <w:r>
        <w:br w:type="page"/>
      </w:r>
    </w:p>
    <w:p>
      <w:pPr>
        <w:pStyle w:val="Heading1"/>
        <w:spacing w:before="140" w:after="100"/>
        <w:jc w:val="left"/>
      </w:pPr>
      <w:r>
        <w:rPr>
          <w:rFonts w:ascii="Calibri" w:hAnsi="Calibri" w:eastAsia="Calibri"/>
          <w:b/>
          <w:i w:val="0"/>
          <w:color w:val="1F3964"/>
          <w:sz w:val="30"/>
        </w:rPr>
        <w:t>6. Sistema de tipos y conversiones</w:t>
      </w:r>
    </w:p>
    <w:p>
      <w:pPr>
        <w:spacing w:before="0" w:after="120" w:line="259" w:lineRule="auto"/>
        <w:jc w:val="both"/>
      </w:pPr>
      <w:r>
        <w:rPr>
          <w:rFonts w:ascii="Calibri" w:hAnsi="Calibri" w:eastAsia="Calibri"/>
          <w:b w:val="0"/>
          <w:i w:val="0"/>
          <w:sz w:val="22"/>
        </w:rPr>
        <w:t>El sistema de tipos distingue entre tipos primitivos, tipos numéricos y tipos de registro. Los primitivos son int, float, char y boolean. Los numéricos son int y float. Los registros son nominales: dos registros solo son compatibles si comparten exactamente el mismo nombre de tipo.</w:t>
      </w:r>
    </w:p>
    <w:tbl>
      <w:tblPr>
        <w:tblStyle w:val="TableGrid"/>
        <w:tblW w:type="auto" w:w="0"/>
        <w:tblLayout w:type="autofit"/>
        <w:tblLook w:firstColumn="1" w:firstRow="1" w:lastColumn="0" w:lastRow="0" w:noHBand="0" w:noVBand="1" w:val="04A0"/>
      </w:tblPr>
      <w:tblGrid>
        <w:gridCol w:w="4646"/>
        <w:gridCol w:w="4646"/>
      </w:tblGrid>
      <w:tr>
        <w:trPr>
          <w:tblHeader w:val="true"/>
        </w:trPr>
        <w:tc>
          <w:tcPr>
            <w:tcW w:type="dxa" w:w="4646"/>
            <w:shd w:val="clear" w:color="auto" w:fill="1F3964"/>
            <w:tcMar>
              <w:top w:w="90" w:type="dxa"/>
              <w:start w:w="120" w:type="dxa"/>
              <w:bottom w:w="90" w:type="dxa"/>
              <w:end w:w="120" w:type="dxa"/>
            </w:tcMar>
            <w:vAlign w:val="center"/>
          </w:tcPr>
          <w:p>
            <w:pPr>
              <w:jc w:val="center"/>
            </w:pPr>
            <w:r/>
            <w:r>
              <w:rPr>
                <w:rFonts w:ascii="Calibri" w:hAnsi="Calibri" w:eastAsia="Calibri"/>
                <w:b/>
                <w:i w:val="0"/>
                <w:color w:val="FFFFFF"/>
                <w:sz w:val="18"/>
              </w:rPr>
              <w:t>Regla</w:t>
            </w:r>
          </w:p>
        </w:tc>
        <w:tc>
          <w:tcPr>
            <w:tcW w:type="dxa" w:w="4646"/>
            <w:shd w:val="clear" w:color="auto" w:fill="1F3964"/>
            <w:tcMar>
              <w:top w:w="90" w:type="dxa"/>
              <w:start w:w="120" w:type="dxa"/>
              <w:bottom w:w="90" w:type="dxa"/>
              <w:end w:w="120" w:type="dxa"/>
            </w:tcMar>
            <w:vAlign w:val="center"/>
          </w:tcPr>
          <w:p>
            <w:pPr>
              <w:jc w:val="center"/>
            </w:pPr>
            <w:r>
              <w:t>Implementación</w:t>
            </w:r>
            <w:r>
              <w:rPr>
                <w:rFonts w:ascii="Calibri" w:hAnsi="Calibri" w:eastAsia="Calibri"/>
                <w:b/>
                <w:i w:val="0"/>
                <w:color w:val="FFFFFF"/>
                <w:sz w:val="18"/>
              </w:rPr>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Asignacion exacta</w:t>
            </w:r>
          </w:p>
        </w:tc>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target_type == source_type siempre es compatible.</w:t>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Promocion numerica</w:t>
            </w:r>
          </w:p>
        </w:tc>
        <w:tc>
          <w:tcPr>
            <w:tcW w:type="dxa" w:w="4646"/>
            <w:tcMar>
              <w:top w:w="90" w:type="dxa"/>
              <w:start w:w="120" w:type="dxa"/>
              <w:bottom w:w="90" w:type="dxa"/>
              <w:end w:w="120" w:type="dxa"/>
            </w:tcMar>
            <w:vAlign w:val="center"/>
          </w:tcPr>
          <w:p>
            <w:pPr>
              <w:jc w:val="left"/>
            </w:pPr>
            <w:r>
              <w:t>int puede asignarse a float de forma automática.</w:t>
            </w:r>
            <w:r>
              <w:rPr>
                <w:rFonts w:ascii="Calibri" w:hAnsi="Calibri" w:eastAsia="Calibri"/>
                <w:b w:val="0"/>
                <w:i w:val="0"/>
                <w:sz w:val="18"/>
              </w:rPr>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Conversion inversa</w:t>
            </w:r>
          </w:p>
        </w:tc>
        <w:tc>
          <w:tcPr>
            <w:tcW w:type="dxa" w:w="4646"/>
            <w:shd w:val="clear" w:color="auto" w:fill="F3F7FB"/>
            <w:tcMar>
              <w:top w:w="90" w:type="dxa"/>
              <w:start w:w="120" w:type="dxa"/>
              <w:bottom w:w="90" w:type="dxa"/>
              <w:end w:w="120" w:type="dxa"/>
            </w:tcMar>
            <w:vAlign w:val="center"/>
          </w:tcPr>
          <w:p>
            <w:pPr>
              <w:jc w:val="left"/>
            </w:pPr>
            <w:r>
              <w:t>float no se convierte automáticamente a int.</w:t>
            </w:r>
            <w:r>
              <w:rPr>
                <w:rFonts w:ascii="Calibri" w:hAnsi="Calibri" w:eastAsia="Calibri"/>
                <w:b w:val="0"/>
                <w:i w:val="0"/>
                <w:sz w:val="18"/>
              </w:rPr>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char y boolean</w:t>
            </w:r>
          </w:p>
        </w:tc>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Solo son compatibles consigo mismos.</w:t>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Registros</w:t>
            </w:r>
          </w:p>
        </w:tc>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La compatibilidad es nominal, no estructural.</w:t>
            </w:r>
          </w:p>
        </w:tc>
      </w:tr>
    </w:tbl>
    <w:p>
      <w:pPr>
        <w:spacing w:after="40"/>
      </w:pPr>
    </w:p>
    <w:p>
      <w:pPr>
        <w:spacing w:before="60" w:after="120"/>
        <w:jc w:val="left"/>
        <w:shd w:val="clear" w:color="auto" w:fill="F2F2F2"/>
      </w:pPr>
      <w:r>
        <w:rPr>
          <w:rFonts w:ascii="Courier New" w:hAnsi="Courier New" w:eastAsia="Courier New"/>
          <w:b w:val="0"/>
          <w:i w:val="0"/>
          <w:sz w:val="17"/>
        </w:rPr>
        <w:t>def can_assign(self, target_type, source_type):</w:t>
      </w:r>
      <w:r>
        <w:br/>
      </w:r>
      <w:r>
        <w:rPr>
          <w:rFonts w:ascii="Courier New" w:hAnsi="Courier New" w:eastAsia="Courier New"/>
          <w:b w:val="0"/>
          <w:i w:val="0"/>
          <w:sz w:val="17"/>
        </w:rPr>
        <w:t xml:space="preserve">    if target_type is None or source_type is None:</w:t>
      </w:r>
      <w:r>
        <w:br/>
      </w:r>
      <w:r>
        <w:rPr>
          <w:rFonts w:ascii="Courier New" w:hAnsi="Courier New" w:eastAsia="Courier New"/>
          <w:b w:val="0"/>
          <w:i w:val="0"/>
          <w:sz w:val="17"/>
        </w:rPr>
        <w:t xml:space="preserve">        return True</w:t>
      </w:r>
      <w:r>
        <w:br/>
      </w:r>
      <w:r>
        <w:rPr>
          <w:rFonts w:ascii="Courier New" w:hAnsi="Courier New" w:eastAsia="Courier New"/>
          <w:b w:val="0"/>
          <w:i w:val="0"/>
          <w:sz w:val="17"/>
        </w:rPr>
        <w:t xml:space="preserve">    if target_type == source_type:</w:t>
      </w:r>
      <w:r>
        <w:br/>
      </w:r>
      <w:r>
        <w:rPr>
          <w:rFonts w:ascii="Courier New" w:hAnsi="Courier New" w:eastAsia="Courier New"/>
          <w:b w:val="0"/>
          <w:i w:val="0"/>
          <w:sz w:val="17"/>
        </w:rPr>
        <w:t xml:space="preserve">        return True</w:t>
      </w:r>
      <w:r>
        <w:br/>
      </w:r>
      <w:r>
        <w:rPr>
          <w:rFonts w:ascii="Courier New" w:hAnsi="Courier New" w:eastAsia="Courier New"/>
          <w:b w:val="0"/>
          <w:i w:val="0"/>
          <w:sz w:val="17"/>
        </w:rPr>
        <w:t xml:space="preserve">    return target_type == "float" and source_type == "int"</w:t>
      </w:r>
    </w:p>
    <w:p>
      <w:pPr>
        <w:spacing w:before="0" w:after="120" w:line="259" w:lineRule="auto"/>
        <w:jc w:val="both"/>
      </w:pPr>
      <w:r>
        <w:rPr>
          <w:rFonts w:ascii="Calibri" w:hAnsi="Calibri" w:eastAsia="Calibri"/>
          <w:b w:val="0"/>
          <w:i w:val="0"/>
          <w:sz w:val="22"/>
        </w:rPr>
        <w:t>La función can_assign centraliza la compatibilidad y evita duplicar lógica en declaraciones, asignaciones, argumentos de constructor, llamadas a funciones y sentencias return. Cuando un tipo es None, se evita generar errores en cascada: el error principal ya se habra registrado en la expresión que no pudo tiparse.</w:t>
      </w:r>
    </w:p>
    <w:p>
      <w:pPr>
        <w:pStyle w:val="Heading1"/>
        <w:spacing w:before="140" w:after="100"/>
        <w:jc w:val="left"/>
      </w:pPr>
      <w:r>
        <w:rPr>
          <w:rFonts w:ascii="Calibri" w:hAnsi="Calibri" w:eastAsia="Calibri"/>
          <w:b/>
          <w:i w:val="0"/>
          <w:color w:val="1F3964"/>
          <w:sz w:val="30"/>
        </w:rPr>
        <w:t>7. Validación de expresiones y sentencias</w:t>
      </w:r>
    </w:p>
    <w:p>
      <w:pPr>
        <w:spacing w:before="0" w:after="120" w:line="259" w:lineRule="auto"/>
        <w:jc w:val="both"/>
      </w:pPr>
      <w:r>
        <w:rPr>
          <w:rFonts w:ascii="Calibri" w:hAnsi="Calibri" w:eastAsia="Calibri"/>
          <w:b w:val="0"/>
          <w:i w:val="0"/>
          <w:sz w:val="22"/>
        </w:rPr>
        <w:t>El metodo analyze_expression resuelve recursivamente el tipo de cada nodo. Los literales devuelven su tipo directo; los identificadores consultan la tabla de símbolos; new valida el registro y sus argumentos; field comprueba que la base sea un registro y que el campo exista; call resuelve la sobrecarga; unary y binary validan operadores.</w:t>
      </w:r>
    </w:p>
    <w:tbl>
      <w:tblPr>
        <w:tblStyle w:val="TableGrid"/>
        <w:tblW w:type="auto" w:w="0"/>
        <w:tblLayout w:type="autofit"/>
        <w:tblLook w:firstColumn="1" w:firstRow="1" w:lastColumn="0" w:lastRow="0" w:noHBand="0" w:noVBand="1" w:val="04A0"/>
      </w:tblPr>
      <w:tblGrid>
        <w:gridCol w:w="4646"/>
        <w:gridCol w:w="4646"/>
      </w:tblGrid>
      <w:tr>
        <w:trPr>
          <w:tblHeader w:val="true"/>
        </w:trPr>
        <w:tc>
          <w:tcPr>
            <w:tcW w:type="dxa" w:w="4646"/>
            <w:shd w:val="clear" w:color="auto" w:fill="1F3964"/>
            <w:tcMar>
              <w:top w:w="90" w:type="dxa"/>
              <w:start w:w="120" w:type="dxa"/>
              <w:bottom w:w="90" w:type="dxa"/>
              <w:end w:w="120" w:type="dxa"/>
            </w:tcMar>
            <w:vAlign w:val="center"/>
          </w:tcPr>
          <w:p>
            <w:pPr>
              <w:jc w:val="center"/>
            </w:pPr>
            <w:r/>
            <w:r>
              <w:rPr>
                <w:rFonts w:ascii="Calibri" w:hAnsi="Calibri" w:eastAsia="Calibri"/>
                <w:b/>
                <w:i w:val="0"/>
                <w:color w:val="FFFFFF"/>
                <w:sz w:val="18"/>
              </w:rPr>
              <w:t>Construccion</w:t>
            </w:r>
          </w:p>
        </w:tc>
        <w:tc>
          <w:tcPr>
            <w:tcW w:type="dxa" w:w="4646"/>
            <w:shd w:val="clear" w:color="auto" w:fill="1F3964"/>
            <w:tcMar>
              <w:top w:w="90" w:type="dxa"/>
              <w:start w:w="120" w:type="dxa"/>
              <w:bottom w:w="90" w:type="dxa"/>
              <w:end w:w="120" w:type="dxa"/>
            </w:tcMar>
            <w:vAlign w:val="center"/>
          </w:tcPr>
          <w:p>
            <w:pPr>
              <w:jc w:val="center"/>
            </w:pPr>
            <w:r>
              <w:t>Comprobación semántica</w:t>
            </w:r>
            <w:r>
              <w:rPr>
                <w:rFonts w:ascii="Calibri" w:hAnsi="Calibri" w:eastAsia="Calibri"/>
                <w:b/>
                <w:i w:val="0"/>
                <w:color w:val="FFFFFF"/>
                <w:sz w:val="18"/>
              </w:rPr>
            </w:r>
          </w:p>
        </w:tc>
      </w:tr>
      <w:tr>
        <w:tc>
          <w:tcPr>
            <w:tcW w:type="dxa" w:w="4646"/>
            <w:shd w:val="clear" w:color="auto" w:fill="F3F7FB"/>
            <w:tcMar>
              <w:top w:w="90" w:type="dxa"/>
              <w:start w:w="120" w:type="dxa"/>
              <w:bottom w:w="90" w:type="dxa"/>
              <w:end w:w="120" w:type="dxa"/>
            </w:tcMar>
            <w:vAlign w:val="center"/>
          </w:tcPr>
          <w:p>
            <w:pPr>
              <w:jc w:val="left"/>
            </w:pPr>
            <w:r>
              <w:t>Aritmética + - * /</w:t>
            </w:r>
            <w:r>
              <w:rPr>
                <w:rFonts w:ascii="Calibri" w:hAnsi="Calibri" w:eastAsia="Calibri"/>
                <w:b w:val="0"/>
                <w:i w:val="0"/>
                <w:sz w:val="18"/>
              </w:rPr>
            </w:r>
          </w:p>
        </w:tc>
        <w:tc>
          <w:tcPr>
            <w:tcW w:type="dxa" w:w="4646"/>
            <w:shd w:val="clear" w:color="auto" w:fill="F3F7FB"/>
            <w:tcMar>
              <w:top w:w="90" w:type="dxa"/>
              <w:start w:w="120" w:type="dxa"/>
              <w:bottom w:w="90" w:type="dxa"/>
              <w:end w:w="120" w:type="dxa"/>
            </w:tcMar>
            <w:vAlign w:val="center"/>
          </w:tcPr>
          <w:p>
            <w:pPr>
              <w:jc w:val="left"/>
            </w:pPr>
            <w:r>
              <w:t>Ambos operandos deben ser numéricos.</w:t>
            </w:r>
            <w:r>
              <w:rPr>
                <w:rFonts w:ascii="Calibri" w:hAnsi="Calibri" w:eastAsia="Calibri"/>
                <w:b w:val="0"/>
                <w:i w:val="0"/>
                <w:sz w:val="18"/>
              </w:rPr>
            </w:r>
          </w:p>
        </w:tc>
      </w:tr>
      <w:tr>
        <w:tc>
          <w:tcPr>
            <w:tcW w:type="dxa" w:w="4646"/>
            <w:tcMar>
              <w:top w:w="90" w:type="dxa"/>
              <w:start w:w="120" w:type="dxa"/>
              <w:bottom w:w="90" w:type="dxa"/>
              <w:end w:w="120" w:type="dxa"/>
            </w:tcMar>
            <w:vAlign w:val="center"/>
          </w:tcPr>
          <w:p>
            <w:pPr>
              <w:jc w:val="left"/>
            </w:pPr>
            <w:r>
              <w:t>Comparación &gt; &gt;= &lt; &lt;=</w:t>
            </w:r>
            <w:r>
              <w:rPr>
                <w:rFonts w:ascii="Calibri" w:hAnsi="Calibri" w:eastAsia="Calibri"/>
                <w:b w:val="0"/>
                <w:i w:val="0"/>
                <w:sz w:val="18"/>
              </w:rPr>
            </w:r>
          </w:p>
        </w:tc>
        <w:tc>
          <w:tcPr>
            <w:tcW w:type="dxa" w:w="4646"/>
            <w:tcMar>
              <w:top w:w="90" w:type="dxa"/>
              <w:start w:w="120" w:type="dxa"/>
              <w:bottom w:w="90" w:type="dxa"/>
              <w:end w:w="120" w:type="dxa"/>
            </w:tcMar>
            <w:vAlign w:val="center"/>
          </w:tcPr>
          <w:p>
            <w:pPr>
              <w:jc w:val="left"/>
            </w:pPr>
            <w:r>
              <w:t>Operandos numéricos y resultado boolean.</w:t>
            </w:r>
            <w:r>
              <w:rPr>
                <w:rFonts w:ascii="Calibri" w:hAnsi="Calibri" w:eastAsia="Calibri"/>
                <w:b w:val="0"/>
                <w:i w:val="0"/>
                <w:sz w:val="18"/>
              </w:rPr>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Igualdad ==</w:t>
            </w:r>
          </w:p>
        </w:tc>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Numericos entre si, char con char o boolean con boolean.</w:t>
            </w:r>
          </w:p>
        </w:tc>
      </w:tr>
      <w:tr>
        <w:tc>
          <w:tcPr>
            <w:tcW w:type="dxa" w:w="4646"/>
            <w:tcMar>
              <w:top w:w="90" w:type="dxa"/>
              <w:start w:w="120" w:type="dxa"/>
              <w:bottom w:w="90" w:type="dxa"/>
              <w:end w:w="120" w:type="dxa"/>
            </w:tcMar>
            <w:vAlign w:val="center"/>
          </w:tcPr>
          <w:p>
            <w:pPr>
              <w:jc w:val="left"/>
            </w:pPr>
            <w:r>
              <w:t>Lógicos &amp;&amp; ||</w:t>
            </w:r>
            <w:r>
              <w:rPr>
                <w:rFonts w:ascii="Calibri" w:hAnsi="Calibri" w:eastAsia="Calibri"/>
                <w:b w:val="0"/>
                <w:i w:val="0"/>
                <w:sz w:val="18"/>
              </w:rPr>
            </w:r>
          </w:p>
        </w:tc>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Operandos booleanos.</w:t>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Unario !</w:t>
            </w:r>
          </w:p>
        </w:tc>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Operando boolean.</w:t>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Acceso a campo</w:t>
            </w:r>
          </w:p>
        </w:tc>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La base debe ser un registro con ese campo.</w:t>
            </w:r>
          </w:p>
        </w:tc>
      </w:tr>
    </w:tbl>
    <w:p>
      <w:pPr>
        <w:spacing w:after="40"/>
      </w:pPr>
    </w:p>
    <w:p>
      <w:r>
        <w:br w:type="page"/>
      </w:r>
    </w:p>
    <w:p>
      <w:pPr>
        <w:pStyle w:val="Heading2"/>
        <w:spacing w:before="80" w:after="60"/>
        <w:jc w:val="left"/>
      </w:pPr>
      <w:r>
        <w:rPr>
          <w:rFonts w:ascii="Calibri" w:hAnsi="Calibri" w:eastAsia="Calibri"/>
          <w:b/>
          <w:i w:val="0"/>
          <w:color w:val="1F3964"/>
          <w:sz w:val="24"/>
        </w:rPr>
        <w:t>7.1. Declaraciones, asignaciones y lvalues</w:t>
      </w:r>
    </w:p>
    <w:p>
      <w:pPr>
        <w:spacing w:before="0" w:after="120" w:line="259" w:lineRule="auto"/>
        <w:jc w:val="both"/>
      </w:pPr>
      <w:r>
        <w:rPr>
          <w:rFonts w:ascii="Calibri" w:hAnsi="Calibri" w:eastAsia="Calibri"/>
          <w:b w:val="0"/>
          <w:i w:val="0"/>
          <w:sz w:val="22"/>
        </w:rPr>
        <w:t>En las declaraciones se comprueba que el tipo declarado exista y, si hay inicialización, que el valor sea asignable al tipo de la variable. En las asignaciones se tipa por separado el lado izquierdo y la expresión derecha. El lado izquierdo solo puede ser un identificador o una cadena de accesos a campos; una llamada a función, un literal o un new no son destinos válidos.</w:t>
      </w:r>
    </w:p>
    <w:p>
      <w:pPr>
        <w:pStyle w:val="Heading2"/>
        <w:spacing w:before="80" w:after="60"/>
        <w:jc w:val="left"/>
      </w:pPr>
      <w:r>
        <w:rPr>
          <w:rFonts w:ascii="Calibri" w:hAnsi="Calibri" w:eastAsia="Calibri"/>
          <w:b/>
          <w:i w:val="0"/>
          <w:color w:val="1F3964"/>
          <w:sz w:val="24"/>
        </w:rPr>
        <w:t>7.2. Control de flujo</w:t>
      </w:r>
    </w:p>
    <w:p>
      <w:pPr>
        <w:spacing w:before="0" w:after="120" w:line="259" w:lineRule="auto"/>
        <w:jc w:val="both"/>
      </w:pPr>
      <w:r>
        <w:rPr>
          <w:rFonts w:ascii="Calibri" w:hAnsi="Calibri" w:eastAsia="Calibri"/>
          <w:b w:val="0"/>
          <w:i w:val="0"/>
          <w:sz w:val="22"/>
        </w:rPr>
        <w:t>Las condiciones de if, while y do-while deben ser booleanas. Para break se arrastra un indicador in_loop durante el recorrido; si aparece fuera de un bucle se emite error. Cada bloque crea un nuevo ámbito salvo el cuerpo raíz de una función, donde los parámetros ya se han declarado previamente.</w:t>
      </w:r>
    </w:p>
    <w:p>
      <w:pPr>
        <w:pStyle w:val="Heading2"/>
        <w:spacing w:before="80" w:after="60"/>
        <w:jc w:val="left"/>
      </w:pPr>
      <w:r>
        <w:rPr>
          <w:rFonts w:ascii="Calibri" w:hAnsi="Calibri" w:eastAsia="Calibri"/>
          <w:b/>
          <w:i w:val="0"/>
          <w:color w:val="1F3964"/>
          <w:sz w:val="24"/>
        </w:rPr>
        <w:t>7.3. Return</w:t>
      </w:r>
    </w:p>
    <w:p>
      <w:pPr>
        <w:spacing w:before="0" w:after="120" w:line="259" w:lineRule="auto"/>
        <w:jc w:val="both"/>
      </w:pPr>
      <w:r>
        <w:rPr>
          <w:rFonts w:ascii="Calibri" w:hAnsi="Calibri" w:eastAsia="Calibri"/>
          <w:b w:val="0"/>
          <w:i w:val="0"/>
          <w:sz w:val="22"/>
        </w:rPr>
        <w:t>La implementacion adopta la regla estricta del enunciado: en funciones void no se permite return, ni siquiera sin expresión. En funciones no void se requiere al menos un return con expresión compatible con el tipo declarado. Para ello se mantiene un estado has_value_return durante el análisis del cuerpo de cada función.</w:t>
      </w:r>
    </w:p>
    <w:p>
      <w:pPr>
        <w:pStyle w:val="Heading2"/>
        <w:spacing w:before="80" w:after="60"/>
        <w:jc w:val="left"/>
      </w:pPr>
      <w:r>
        <w:rPr>
          <w:rFonts w:ascii="Calibri" w:hAnsi="Calibri" w:eastAsia="Calibri"/>
          <w:b/>
          <w:i w:val="0"/>
          <w:color w:val="1F3964"/>
          <w:sz w:val="24"/>
        </w:rPr>
        <w:t>7.4. Constructores new</w:t>
      </w:r>
    </w:p>
    <w:p>
      <w:pPr>
        <w:spacing w:before="0" w:after="120" w:line="259" w:lineRule="auto"/>
        <w:jc w:val="both"/>
      </w:pPr>
      <w:r>
        <w:rPr>
          <w:rFonts w:ascii="Calibri" w:hAnsi="Calibri" w:eastAsia="Calibri"/>
          <w:b w:val="0"/>
          <w:i w:val="0"/>
          <w:sz w:val="22"/>
        </w:rPr>
        <w:t>La validación de new comprueba cuatro condiciones: que el registro exista, que no se use antes de su declaración, que el número de argumentos coincida con el número de campos y que cada argumento sea asignable al tipo del campo correspondiente. Esto cubre tanto registros simples como registros anidados.</w:t>
      </w:r>
    </w:p>
    <w:p>
      <w:pPr>
        <w:pStyle w:val="Heading1"/>
        <w:spacing w:before="140" w:after="100"/>
        <w:jc w:val="left"/>
      </w:pPr>
      <w:r>
        <w:rPr>
          <w:rFonts w:ascii="Calibri" w:hAnsi="Calibri" w:eastAsia="Calibri"/>
          <w:b/>
          <w:i w:val="0"/>
          <w:color w:val="1F3964"/>
          <w:sz w:val="30"/>
        </w:rPr>
        <w:t>8. Tratamiento de errores y modos de ejecución</w:t>
      </w:r>
    </w:p>
    <w:p>
      <w:pPr>
        <w:spacing w:before="0" w:after="120" w:line="259" w:lineRule="auto"/>
        <w:jc w:val="both"/>
      </w:pPr>
      <w:r>
        <w:rPr>
          <w:rFonts w:ascii="Calibri" w:hAnsi="Calibri" w:eastAsia="Calibri"/>
          <w:b w:val="0"/>
          <w:i w:val="0"/>
          <w:sz w:val="22"/>
        </w:rPr>
        <w:t>Los errores semánticos se acumulan en una lista y se devuelven al final. El formato usado es [ERROR] mensaje en la línea X, coherente con los errores sintácticos de P2. Esta acumulacion permite informar de varios problemas en una sola ejecución cuando no dependen unos de otros.</w:t>
      </w:r>
    </w:p>
    <w:p>
      <w:pPr>
        <w:spacing w:before="60" w:after="120"/>
        <w:jc w:val="left"/>
        <w:shd w:val="clear" w:color="auto" w:fill="F2F2F2"/>
      </w:pPr>
      <w:r>
        <w:rPr>
          <w:rFonts w:ascii="Courier New" w:hAnsi="Courier New" w:eastAsia="Courier New"/>
          <w:b w:val="0"/>
          <w:i w:val="0"/>
          <w:sz w:val="17"/>
        </w:rPr>
        <w:t>python3 main.py &lt;fichero.lava&gt;       # lexer + parser + semántica</w:t>
        <w:br/>
        <w:t>python3 main.py --token &lt;fichero&gt;    # modo léxico heredado de P1</w:t>
        <w:br/>
        <w:t>python3 main.py --ir &lt;fichero.lava&gt;  # validación completa + fichero .ir</w:t>
      </w:r>
      <w:r/>
      <w:r>
        <w:rPr>
          <w:rFonts w:ascii="Courier New" w:hAnsi="Courier New" w:eastAsia="Courier New"/>
          <w:b w:val="0"/>
          <w:i w:val="0"/>
          <w:sz w:val="17"/>
        </w:rPr>
      </w:r>
      <w:r/>
      <w:r>
        <w:rPr>
          <w:rFonts w:ascii="Courier New" w:hAnsi="Courier New" w:eastAsia="Courier New"/>
          <w:b w:val="0"/>
          <w:i w:val="0"/>
          <w:sz w:val="17"/>
        </w:rPr>
      </w:r>
    </w:p>
    <w:p>
      <w:pPr>
        <w:spacing w:before="0" w:after="120" w:line="259" w:lineRule="auto"/>
        <w:jc w:val="both"/>
      </w:pPr>
      <w:r>
        <w:rPr>
          <w:rFonts w:ascii="Calibri" w:hAnsi="Calibri" w:eastAsia="Calibri"/>
          <w:b w:val="0"/>
          <w:i w:val="0"/>
          <w:sz w:val="22"/>
        </w:rPr>
        <w:t>El modo normal no imprime nada si el programa es correcto y termina con código 0. Si hay errores, se muestran por pantalla y el proceso termina con código 1. El modo --ir sigue el mismo criterio, pero solo escribe el archivo de salida cuando la fase semántica no ha encontrado errores.</w:t>
      </w:r>
    </w:p>
    <w:p>
      <w:r>
        <w:br w:type="page"/>
      </w:r>
    </w:p>
    <w:p>
      <w:pPr>
        <w:pStyle w:val="Heading1"/>
        <w:spacing w:before="140" w:after="100"/>
        <w:jc w:val="left"/>
      </w:pPr>
      <w:r>
        <w:rPr>
          <w:rFonts w:ascii="Calibri" w:hAnsi="Calibri" w:eastAsia="Calibri"/>
          <w:b/>
          <w:i w:val="0"/>
          <w:color w:val="1F3964"/>
          <w:sz w:val="30"/>
        </w:rPr>
        <w:t>9. Generación opcional de código intermedio</w:t>
      </w:r>
    </w:p>
    <w:p>
      <w:pPr>
        <w:spacing w:before="0" w:after="120" w:line="259" w:lineRule="auto"/>
        <w:jc w:val="both"/>
      </w:pPr>
      <w:r>
        <w:rPr>
          <w:rFonts w:ascii="Calibri" w:hAnsi="Calibri" w:eastAsia="Calibri"/>
          <w:b w:val="0"/>
          <w:i w:val="0"/>
          <w:sz w:val="22"/>
        </w:rPr>
        <w:t>Como apartado opcional de P3 se ha implementado un generador de código intermedio en ir.py. El objetivo es producir una representación textual simple, cercana a tres direcciones, que permita observar el flujo de ejecución del programa sin entrar aun en generación de código máquina.</w:t>
      </w:r>
    </w:p>
    <w:p>
      <w:pPr>
        <w:spacing w:before="0" w:after="120" w:line="259" w:lineRule="auto"/>
        <w:jc w:val="both"/>
      </w:pPr>
      <w:r>
        <w:rPr>
          <w:rFonts w:ascii="Calibri" w:hAnsi="Calibri" w:eastAsia="Calibri"/>
          <w:b w:val="0"/>
          <w:i w:val="0"/>
          <w:sz w:val="22"/>
        </w:rPr>
        <w:t>El generador recorre los mismos nodos que el analizador semántico, pero asume que el programa ya ha sido validado. Para expresiones complejas crea temporales t1, t2, etc. Para estructuras de control crea etiquetas L1, L2, etc. Para break mantiene una pila de etiquetas de fin de bucle, de forma que un break dentro de bucles anidados salta al final del bucle correcto.</w:t>
      </w:r>
    </w:p>
    <w:p>
      <w:pPr>
        <w:spacing w:before="60" w:after="120"/>
        <w:jc w:val="left"/>
        <w:shd w:val="clear" w:color="auto" w:fill="F2F2F2"/>
      </w:pPr>
      <w:r>
        <w:rPr>
          <w:rFonts w:ascii="Courier New" w:hAnsi="Courier New" w:eastAsia="Courier New"/>
          <w:b w:val="0"/>
          <w:i w:val="0"/>
          <w:sz w:val="17"/>
        </w:rPr>
        <w:t>while (i &lt; 3) { i = i + 1; }</w:t>
      </w:r>
      <w:r>
        <w:br/>
      </w:r>
      <w:r>
        <w:rPr>
          <w:rFonts w:ascii="Courier New" w:hAnsi="Courier New" w:eastAsia="Courier New"/>
          <w:b w:val="0"/>
          <w:i w:val="0"/>
          <w:sz w:val="17"/>
        </w:rPr>
      </w:r>
      <w:r>
        <w:br/>
      </w:r>
      <w:r>
        <w:rPr>
          <w:rFonts w:ascii="Courier New" w:hAnsi="Courier New" w:eastAsia="Courier New"/>
          <w:b w:val="0"/>
          <w:i w:val="0"/>
          <w:sz w:val="17"/>
        </w:rPr>
        <w:t>L1:</w:t>
      </w:r>
      <w:r>
        <w:br/>
      </w:r>
      <w:r>
        <w:rPr>
          <w:rFonts w:ascii="Courier New" w:hAnsi="Courier New" w:eastAsia="Courier New"/>
          <w:b w:val="0"/>
          <w:i w:val="0"/>
          <w:sz w:val="17"/>
        </w:rPr>
        <w:t>t1 = i &lt; 3</w:t>
      </w:r>
      <w:r>
        <w:br/>
      </w:r>
      <w:r>
        <w:rPr>
          <w:rFonts w:ascii="Courier New" w:hAnsi="Courier New" w:eastAsia="Courier New"/>
          <w:b w:val="0"/>
          <w:i w:val="0"/>
          <w:sz w:val="17"/>
        </w:rPr>
        <w:t>ifFalse t1 goto L2</w:t>
      </w:r>
      <w:r>
        <w:br/>
      </w:r>
      <w:r>
        <w:rPr>
          <w:rFonts w:ascii="Courier New" w:hAnsi="Courier New" w:eastAsia="Courier New"/>
          <w:b w:val="0"/>
          <w:i w:val="0"/>
          <w:sz w:val="17"/>
        </w:rPr>
        <w:t>t2 = i + 1</w:t>
      </w:r>
      <w:r>
        <w:br/>
      </w:r>
      <w:r>
        <w:rPr>
          <w:rFonts w:ascii="Courier New" w:hAnsi="Courier New" w:eastAsia="Courier New"/>
          <w:b w:val="0"/>
          <w:i w:val="0"/>
          <w:sz w:val="17"/>
        </w:rPr>
        <w:t>i = t2</w:t>
      </w:r>
      <w:r>
        <w:br/>
      </w:r>
      <w:r>
        <w:rPr>
          <w:rFonts w:ascii="Courier New" w:hAnsi="Courier New" w:eastAsia="Courier New"/>
          <w:b w:val="0"/>
          <w:i w:val="0"/>
          <w:sz w:val="17"/>
        </w:rPr>
        <w:t>goto L1</w:t>
      </w:r>
      <w:r>
        <w:br/>
      </w:r>
      <w:r>
        <w:rPr>
          <w:rFonts w:ascii="Courier New" w:hAnsi="Courier New" w:eastAsia="Courier New"/>
          <w:b w:val="0"/>
          <w:i w:val="0"/>
          <w:sz w:val="17"/>
        </w:rPr>
        <w:t>L2:</w:t>
      </w:r>
    </w:p>
    <w:tbl>
      <w:tblPr>
        <w:tblStyle w:val="TableGrid"/>
        <w:tblW w:type="auto" w:w="0"/>
        <w:tblLayout w:type="autofit"/>
        <w:tblLook w:firstColumn="1" w:firstRow="1" w:lastColumn="0" w:lastRow="0" w:noHBand="0" w:noVBand="1" w:val="04A0"/>
      </w:tblPr>
      <w:tblGrid>
        <w:gridCol w:w="4646"/>
        <w:gridCol w:w="4646"/>
      </w:tblGrid>
      <w:tr>
        <w:trPr>
          <w:tblHeader w:val="true"/>
        </w:trPr>
        <w:tc>
          <w:tcPr>
            <w:tcW w:type="dxa" w:w="4646"/>
            <w:shd w:val="clear" w:color="auto" w:fill="1F3964"/>
            <w:tcMar>
              <w:top w:w="90" w:type="dxa"/>
              <w:start w:w="120" w:type="dxa"/>
              <w:bottom w:w="90" w:type="dxa"/>
              <w:end w:w="120" w:type="dxa"/>
            </w:tcMar>
            <w:vAlign w:val="center"/>
          </w:tcPr>
          <w:p>
            <w:pPr>
              <w:jc w:val="center"/>
            </w:pPr>
            <w:r/>
            <w:r>
              <w:rPr>
                <w:rFonts w:ascii="Calibri" w:hAnsi="Calibri" w:eastAsia="Calibri"/>
                <w:b/>
                <w:i w:val="0"/>
                <w:color w:val="FFFFFF"/>
                <w:sz w:val="18"/>
              </w:rPr>
              <w:t>Elemento Lava</w:t>
            </w:r>
          </w:p>
        </w:tc>
        <w:tc>
          <w:tcPr>
            <w:tcW w:type="dxa" w:w="4646"/>
            <w:shd w:val="clear" w:color="auto" w:fill="1F3964"/>
            <w:tcMar>
              <w:top w:w="90" w:type="dxa"/>
              <w:start w:w="120" w:type="dxa"/>
              <w:bottom w:w="90" w:type="dxa"/>
              <w:end w:w="120" w:type="dxa"/>
            </w:tcMar>
            <w:vAlign w:val="center"/>
          </w:tcPr>
          <w:p>
            <w:pPr>
              <w:jc w:val="center"/>
            </w:pPr>
            <w:r/>
            <w:r>
              <w:rPr>
                <w:rFonts w:ascii="Calibri" w:hAnsi="Calibri" w:eastAsia="Calibri"/>
                <w:b/>
                <w:i w:val="0"/>
                <w:color w:val="FFFFFF"/>
                <w:sz w:val="18"/>
              </w:rPr>
              <w:t>Salida IR</w:t>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Declaracion</w:t>
            </w:r>
          </w:p>
        </w:tc>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declare &lt;tipo&gt; &lt;nombre&gt;</w:t>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Asignacion</w:t>
            </w:r>
          </w:p>
        </w:tc>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&lt;destino&gt; = &lt;valor&gt;</w:t>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Funcion</w:t>
            </w:r>
          </w:p>
        </w:tc>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function f(params) -&gt; tipo ... end function f</w:t>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Llamada</w:t>
            </w:r>
          </w:p>
        </w:tc>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tN = call f(args)</w:t>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if</w:t>
            </w:r>
          </w:p>
        </w:tc>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ifFalse condicion goto etiqueta_else</w:t>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while/do-while</w:t>
            </w:r>
          </w:p>
        </w:tc>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etiquetas, saltos condicionales y goto</w:t>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new</w:t>
            </w:r>
          </w:p>
        </w:tc>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tN = new Registro(args)</w:t>
            </w:r>
          </w:p>
        </w:tc>
      </w:tr>
    </w:tbl>
    <w:p>
      <w:pPr>
        <w:spacing w:after="40"/>
      </w:pPr>
    </w:p>
    <w:p>
      <w:r>
        <w:br w:type="page"/>
      </w:r>
    </w:p>
    <w:p>
      <w:pPr>
        <w:pStyle w:val="Heading1"/>
        <w:spacing w:before="140" w:after="100"/>
        <w:jc w:val="left"/>
      </w:pPr>
      <w:r>
        <w:rPr>
          <w:rFonts w:ascii="Calibri" w:hAnsi="Calibri" w:eastAsia="Calibri"/>
          <w:b/>
          <w:i w:val="0"/>
          <w:color w:val="1F3964"/>
          <w:sz w:val="30"/>
        </w:rPr>
        <w:t>10. Batería de pruebas</w:t>
      </w:r>
    </w:p>
    <w:p>
      <w:pPr>
        <w:spacing w:before="0" w:after="120" w:line="259" w:lineRule="auto"/>
        <w:jc w:val="both"/>
      </w:pPr>
      <w:r>
        <w:rPr>
          <w:rFonts w:ascii="Calibri" w:hAnsi="Calibri" w:eastAsia="Calibri"/>
          <w:b w:val="0"/>
          <w:i w:val="0"/>
          <w:sz w:val="22"/>
        </w:rPr>
        <w:t>La entrega incluye una bateria automatizada en tests/run_tests.py. Los casos se dividen en programas válidos, programas inválidos y una prueba especifica de generación IR. La ejecución realizada para esta memoria ha dado el resultado esperado: Summary: 69/69 passed.</w:t>
      </w:r>
    </w:p>
    <w:tbl>
      <w:tblPr>
        <w:tblStyle w:val="TableGrid"/>
        <w:tblW w:type="auto" w:w="0"/>
        <w:tblLayout w:type="autofit"/>
        <w:tblLook w:firstColumn="1" w:firstRow="1" w:lastColumn="0" w:lastRow="0" w:noHBand="0" w:noVBand="1" w:val="04A0"/>
      </w:tblPr>
      <w:tblGrid>
        <w:gridCol w:w="4646"/>
        <w:gridCol w:w="4646"/>
      </w:tblGrid>
      <w:tr>
        <w:trPr>
          <w:tblHeader w:val="true"/>
        </w:trPr>
        <w:tc>
          <w:tcPr>
            <w:tcW w:type="dxa" w:w="4646"/>
            <w:shd w:val="clear" w:color="auto" w:fill="1F3964"/>
            <w:tcMar>
              <w:top w:w="90" w:type="dxa"/>
              <w:start w:w="120" w:type="dxa"/>
              <w:bottom w:w="90" w:type="dxa"/>
              <w:end w:w="120" w:type="dxa"/>
            </w:tcMar>
            <w:vAlign w:val="center"/>
          </w:tcPr>
          <w:p>
            <w:pPr>
              <w:jc w:val="center"/>
            </w:pPr>
            <w:r>
              <w:t>Categoría</w:t>
            </w:r>
            <w:r>
              <w:rPr>
                <w:rFonts w:ascii="Calibri" w:hAnsi="Calibri" w:eastAsia="Calibri"/>
                <w:b/>
                <w:i w:val="0"/>
                <w:color w:val="FFFFFF"/>
                <w:sz w:val="18"/>
              </w:rPr>
            </w:r>
          </w:p>
        </w:tc>
        <w:tc>
          <w:tcPr>
            <w:tcW w:type="dxa" w:w="4646"/>
            <w:shd w:val="clear" w:color="auto" w:fill="1F3964"/>
            <w:tcMar>
              <w:top w:w="90" w:type="dxa"/>
              <w:start w:w="120" w:type="dxa"/>
              <w:bottom w:w="90" w:type="dxa"/>
              <w:end w:w="120" w:type="dxa"/>
            </w:tcMar>
            <w:vAlign w:val="center"/>
          </w:tcPr>
          <w:p>
            <w:pPr>
              <w:jc w:val="center"/>
            </w:pPr>
            <w:r/>
            <w:r>
              <w:rPr>
                <w:rFonts w:ascii="Calibri" w:hAnsi="Calibri" w:eastAsia="Calibri"/>
                <w:b/>
                <w:i w:val="0"/>
                <w:color w:val="FFFFFF"/>
                <w:sz w:val="18"/>
              </w:rPr>
              <w:t>Cobertura</w:t>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Validos</w:t>
            </w:r>
          </w:p>
        </w:tc>
        <w:tc>
          <w:tcPr>
            <w:tcW w:type="dxa" w:w="4646"/>
            <w:shd w:val="clear" w:color="auto" w:fill="F3F7FB"/>
            <w:tcMar>
              <w:top w:w="90" w:type="dxa"/>
              <w:start w:w="120" w:type="dxa"/>
              <w:bottom w:w="90" w:type="dxa"/>
              <w:end w:w="120" w:type="dxa"/>
            </w:tcMar>
            <w:vAlign w:val="center"/>
          </w:tcPr>
          <w:p>
            <w:pPr>
              <w:jc w:val="left"/>
            </w:pPr>
            <w:r>
              <w:t>Programas vacíos, declaraciones, registros, control de flujo, funciones, expresiones complejas, sobrecarga y promocion numerica.</w:t>
            </w:r>
            <w:r>
              <w:rPr>
                <w:rFonts w:ascii="Calibri" w:hAnsi="Calibri" w:eastAsia="Calibri"/>
                <w:b w:val="0"/>
                <w:i w:val="0"/>
                <w:sz w:val="18"/>
              </w:rPr>
            </w:r>
          </w:p>
        </w:tc>
      </w:tr>
      <w:tr>
        <w:tc>
          <w:tcPr>
            <w:tcW w:type="dxa" w:w="4646"/>
            <w:tcMar>
              <w:top w:w="90" w:type="dxa"/>
              <w:start w:w="120" w:type="dxa"/>
              <w:bottom w:w="90" w:type="dxa"/>
              <w:end w:w="120" w:type="dxa"/>
            </w:tcMar>
            <w:vAlign w:val="center"/>
          </w:tcPr>
          <w:p>
            <w:pPr>
              <w:jc w:val="left"/>
            </w:pPr>
            <w:r>
              <w:t>Inválidos sintácticos heredados</w:t>
            </w:r>
            <w:r>
              <w:rPr>
                <w:rFonts w:ascii="Calibri" w:hAnsi="Calibri" w:eastAsia="Calibri"/>
                <w:b w:val="0"/>
                <w:i w:val="0"/>
                <w:sz w:val="18"/>
              </w:rPr>
            </w:r>
          </w:p>
        </w:tc>
        <w:tc>
          <w:tcPr>
            <w:tcW w:type="dxa" w:w="4646"/>
            <w:tcMar>
              <w:top w:w="90" w:type="dxa"/>
              <w:start w:w="120" w:type="dxa"/>
              <w:bottom w:w="90" w:type="dxa"/>
              <w:end w:w="120" w:type="dxa"/>
            </w:tcMar>
            <w:vAlign w:val="center"/>
          </w:tcPr>
          <w:p>
            <w:pPr>
              <w:jc w:val="left"/>
            </w:pPr>
            <w:r>
              <w:t>Asignaciones mal formadas, multideclaraciones con asignación, declaraciones de registro sin inicialización y EOF inesperado.</w:t>
            </w:r>
            <w:r>
              <w:rPr>
                <w:rFonts w:ascii="Calibri" w:hAnsi="Calibri" w:eastAsia="Calibri"/>
                <w:b w:val="0"/>
                <w:i w:val="0"/>
                <w:sz w:val="18"/>
              </w:rPr>
            </w:r>
          </w:p>
        </w:tc>
      </w:tr>
      <w:tr>
        <w:tc>
          <w:tcPr>
            <w:tcW w:type="dxa" w:w="4646"/>
            <w:shd w:val="clear" w:color="auto" w:fill="F3F7FB"/>
            <w:tcMar>
              <w:top w:w="90" w:type="dxa"/>
              <w:start w:w="120" w:type="dxa"/>
              <w:bottom w:w="90" w:type="dxa"/>
              <w:end w:w="120" w:type="dxa"/>
            </w:tcMar>
            <w:vAlign w:val="center"/>
          </w:tcPr>
          <w:p>
            <w:pPr>
              <w:jc w:val="left"/>
            </w:pPr>
            <w:r>
              <w:t>Inválidos semánticos</w:t>
            </w:r>
            <w:r>
              <w:rPr>
                <w:rFonts w:ascii="Calibri" w:hAnsi="Calibri" w:eastAsia="Calibri"/>
                <w:b w:val="0"/>
                <w:i w:val="0"/>
                <w:sz w:val="18"/>
              </w:rPr>
            </w:r>
          </w:p>
        </w:tc>
        <w:tc>
          <w:tcPr>
            <w:tcW w:type="dxa" w:w="4646"/>
            <w:shd w:val="clear" w:color="auto" w:fill="F3F7FB"/>
            <w:tcMar>
              <w:top w:w="90" w:type="dxa"/>
              <w:start w:w="120" w:type="dxa"/>
              <w:bottom w:w="90" w:type="dxa"/>
              <w:end w:w="120" w:type="dxa"/>
            </w:tcMar>
            <w:vAlign w:val="center"/>
          </w:tcPr>
          <w:p>
            <w:pPr>
              <w:jc w:val="left"/>
            </w:pPr>
            <w:r>
              <w:t>Variables no declaradas, redeclaraciones, tipos incompatibles, condiciones no booleanas, returns incorrectos y break fuera de bucle.</w:t>
            </w:r>
            <w:r>
              <w:rPr>
                <w:rFonts w:ascii="Calibri" w:hAnsi="Calibri" w:eastAsia="Calibri"/>
                <w:b w:val="0"/>
                <w:i w:val="0"/>
                <w:sz w:val="18"/>
              </w:rPr>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Registros</w:t>
            </w:r>
          </w:p>
        </w:tc>
        <w:tc>
          <w:tcPr>
            <w:tcW w:type="dxa" w:w="4646"/>
            <w:tcMar>
              <w:top w:w="90" w:type="dxa"/>
              <w:start w:w="120" w:type="dxa"/>
              <w:bottom w:w="90" w:type="dxa"/>
              <w:end w:w="120" w:type="dxa"/>
            </w:tcMar>
            <w:vAlign w:val="center"/>
          </w:tcPr>
          <w:p>
            <w:pPr>
              <w:jc w:val="left"/>
            </w:pPr>
            <w:r>
              <w:t>Campos inexistentes, acceso sobre primitivos, constructores con aridad o tipos incorrectos y uso antes de declaración.</w:t>
            </w:r>
            <w:r>
              <w:rPr>
                <w:rFonts w:ascii="Calibri" w:hAnsi="Calibri" w:eastAsia="Calibri"/>
                <w:b w:val="0"/>
                <w:i w:val="0"/>
                <w:sz w:val="18"/>
              </w:rPr>
            </w:r>
          </w:p>
        </w:tc>
      </w:tr>
      <w:tr>
        <w:tc>
          <w:tcPr>
            <w:tcW w:type="dxa" w:w="4646"/>
            <w:shd w:val="clear" w:color="auto" w:fill="F3F7FB"/>
            <w:tcMar>
              <w:top w:w="90" w:type="dxa"/>
              <w:start w:w="120" w:type="dxa"/>
              <w:bottom w:w="90" w:type="dxa"/>
              <w:end w:w="120" w:type="dxa"/>
            </w:tcMar>
            <w:vAlign w:val="center"/>
          </w:tcPr>
          <w:p>
            <w:pPr>
              <w:jc w:val="left"/>
            </w:pPr>
            <w:r/>
            <w:r>
              <w:rPr>
                <w:rFonts w:ascii="Calibri" w:hAnsi="Calibri" w:eastAsia="Calibri"/>
                <w:b w:val="0"/>
                <w:i w:val="0"/>
                <w:sz w:val="18"/>
              </w:rPr>
              <w:t>Funciones</w:t>
            </w:r>
          </w:p>
        </w:tc>
        <w:tc>
          <w:tcPr>
            <w:tcW w:type="dxa" w:w="4646"/>
            <w:shd w:val="clear" w:color="auto" w:fill="F3F7FB"/>
            <w:tcMar>
              <w:top w:w="90" w:type="dxa"/>
              <w:start w:w="120" w:type="dxa"/>
              <w:bottom w:w="90" w:type="dxa"/>
              <w:end w:w="120" w:type="dxa"/>
            </w:tcMar>
            <w:vAlign w:val="center"/>
          </w:tcPr>
          <w:p>
            <w:pPr>
              <w:jc w:val="left"/>
            </w:pPr>
            <w:r>
              <w:t>Llamadas no declaradas, argumentos incompatibles, firmas duplicadas, parámetros repetidos y conflictos de nombres globales.</w:t>
            </w:r>
            <w:r>
              <w:rPr>
                <w:rFonts w:ascii="Calibri" w:hAnsi="Calibri" w:eastAsia="Calibri"/>
                <w:b w:val="0"/>
                <w:i w:val="0"/>
                <w:sz w:val="18"/>
              </w:rPr>
            </w:r>
          </w:p>
        </w:tc>
      </w:tr>
      <w:tr>
        <w:tc>
          <w:tcPr>
            <w:tcW w:type="dxa" w:w="4646"/>
            <w:tcMar>
              <w:top w:w="90" w:type="dxa"/>
              <w:start w:w="120" w:type="dxa"/>
              <w:bottom w:w="90" w:type="dxa"/>
              <w:end w:w="120" w:type="dxa"/>
            </w:tcMar>
            <w:vAlign w:val="center"/>
          </w:tcPr>
          <w:p>
            <w:pPr>
              <w:jc w:val="left"/>
            </w:pPr>
            <w:r/>
            <w:r>
              <w:rPr>
                <w:rFonts w:ascii="Calibri" w:hAnsi="Calibri" w:eastAsia="Calibri"/>
                <w:b w:val="0"/>
                <w:i w:val="0"/>
                <w:sz w:val="18"/>
              </w:rPr>
              <w:t>IR</w:t>
            </w:r>
          </w:p>
        </w:tc>
        <w:tc>
          <w:tcPr>
            <w:tcW w:type="dxa" w:w="4646"/>
            <w:tcMar>
              <w:top w:w="90" w:type="dxa"/>
              <w:start w:w="120" w:type="dxa"/>
              <w:bottom w:w="90" w:type="dxa"/>
              <w:end w:w="120" w:type="dxa"/>
            </w:tcMar>
            <w:vAlign w:val="center"/>
          </w:tcPr>
          <w:p>
            <w:pPr>
              <w:jc w:val="left"/>
            </w:pPr>
            <w:r>
              <w:t>Generación opcional solo tras validación semántica correcta.</w:t>
            </w:r>
            <w:r>
              <w:rPr>
                <w:rFonts w:ascii="Calibri" w:hAnsi="Calibri" w:eastAsia="Calibri"/>
                <w:b w:val="0"/>
                <w:i w:val="0"/>
                <w:sz w:val="18"/>
              </w:rPr>
            </w:r>
          </w:p>
        </w:tc>
      </w:tr>
    </w:tbl>
    <w:p>
      <w:pPr>
        <w:spacing w:after="40"/>
      </w:pPr>
    </w:p>
    <w:p>
      <w:pPr>
        <w:spacing w:before="60" w:after="120"/>
        <w:jc w:val="left"/>
        <w:shd w:val="clear" w:color="auto" w:fill="F2F2F2"/>
      </w:pPr>
      <w:r>
        <w:rPr>
          <w:rFonts w:ascii="Courier New" w:hAnsi="Courier New" w:eastAsia="Courier New"/>
          <w:b w:val="0"/>
          <w:i w:val="0"/>
          <w:sz w:val="17"/>
        </w:rPr>
        <w:t>cd P3_MARCO_GARCIA_PABLO_ROIG/tests</w:t>
      </w:r>
      <w:r>
        <w:br/>
      </w:r>
      <w:r>
        <w:rPr>
          <w:rFonts w:ascii="Courier New" w:hAnsi="Courier New" w:eastAsia="Courier New"/>
          <w:b w:val="0"/>
          <w:i w:val="0"/>
          <w:sz w:val="17"/>
        </w:rPr>
        <w:t>python3 run_tests.py</w:t>
      </w:r>
      <w:r>
        <w:br/>
      </w:r>
      <w:r>
        <w:rPr>
          <w:rFonts w:ascii="Courier New" w:hAnsi="Courier New" w:eastAsia="Courier New"/>
          <w:b w:val="0"/>
          <w:i w:val="0"/>
          <w:sz w:val="17"/>
        </w:rPr>
        <w:t>Summary: 69/69 passed</w:t>
      </w:r>
    </w:p>
    <w:p>
      <w:pPr>
        <w:spacing w:before="0" w:after="120" w:line="259" w:lineRule="auto"/>
        <w:jc w:val="both"/>
      </w:pPr>
      <w:r>
        <w:rPr>
          <w:rFonts w:ascii="Calibri" w:hAnsi="Calibri" w:eastAsia="Calibri"/>
          <w:b w:val="0"/>
          <w:i w:val="0"/>
          <w:sz w:val="22"/>
        </w:rPr>
        <w:t>La bateria no solo comprueba que los programas válidos pasen, sino también que los inválidos sean rechazados con al menos un mensaje [ERROR]. Esto es importante porque evita falsos positivos: un analizador semántico que no detectase un caso incorrecto sería tan problematico como uno que rechazase programas correctos.</w:t>
      </w:r>
    </w:p>
    <w:p>
      <w:pPr>
        <w:pStyle w:val="Heading1"/>
        <w:spacing w:before="140" w:after="100"/>
        <w:jc w:val="left"/>
      </w:pPr>
      <w:r>
        <w:rPr>
          <w:rFonts w:ascii="Calibri" w:hAnsi="Calibri" w:eastAsia="Calibri"/>
          <w:b/>
          <w:i w:val="0"/>
          <w:color w:val="1F3964"/>
          <w:sz w:val="30"/>
        </w:rPr>
        <w:t>11. Decisiones de diseño y conclusiones</w:t>
      </w:r>
    </w:p>
    <w:p>
      <w:pPr>
        <w:spacing w:before="0" w:after="120" w:line="259" w:lineRule="auto"/>
        <w:jc w:val="both"/>
      </w:pPr>
      <w:r>
        <w:rPr>
          <w:rFonts w:ascii="Calibri" w:hAnsi="Calibri" w:eastAsia="Calibri"/>
          <w:b w:val="0"/>
          <w:i w:val="0"/>
          <w:sz w:val="22"/>
        </w:rPr>
        <w:t>La decisión principal ha sido mantener separadas las responsabilidades de parser y analizador semántico. El parser conserva una gramática manejable y produce nodos con información de línea; semantic.py se encarga de las reglas dependientes de contexto. Esta separación facilita justificar el código, ampliar comprobaciones y depurar errores sin mezclar niveles.</w:t>
      </w:r>
    </w:p>
    <w:p>
      <w:pPr>
        <w:pStyle w:val="ListBullet"/>
        <w:spacing w:after="60"/>
        <w:jc w:val="both"/>
      </w:pPr>
      <w:r>
        <w:rPr>
          <w:rFonts w:ascii="Calibri" w:hAnsi="Calibri" w:eastAsia="Calibri"/>
          <w:b w:val="0"/>
          <w:i w:val="0"/>
          <w:sz w:val="22"/>
        </w:rPr>
        <w:t>Se ha centralizado la compatibilidad de tipos en can_assign para que declaraciones, asignaciones, llamadas y returns sigan exactamente la misma regla.</w:t>
      </w:r>
    </w:p>
    <w:p>
      <w:pPr>
        <w:pStyle w:val="ListBullet"/>
        <w:spacing w:after="60"/>
        <w:jc w:val="both"/>
      </w:pPr>
      <w:r>
        <w:rPr>
          <w:rFonts w:ascii="Calibri" w:hAnsi="Calibri" w:eastAsia="Calibri"/>
          <w:b w:val="0"/>
          <w:i w:val="0"/>
          <w:sz w:val="22"/>
        </w:rPr>
        <w:t>Se ha implementado sobrecarga por firma, el caso más completo indicado por el enunciado para funciones.</w:t>
      </w:r>
    </w:p>
    <w:p>
      <w:pPr>
        <w:pStyle w:val="ListBullet"/>
        <w:spacing w:after="60"/>
        <w:jc w:val="both"/>
      </w:pPr>
      <w:r>
        <w:rPr>
          <w:rFonts w:ascii="Calibri" w:hAnsi="Calibri" w:eastAsia="Calibri"/>
          <w:b w:val="0"/>
          <w:i w:val="0"/>
          <w:sz w:val="22"/>
        </w:rPr>
        <w:t>Se ha elegido tipado nominal para registros porque los records de Lava se declaran como tipos con nombre, no como estructuras anonimas equivalentes.</w:t>
      </w:r>
    </w:p>
    <w:p>
      <w:pPr>
        <w:pStyle w:val="ListBullet"/>
        <w:spacing w:after="60"/>
        <w:jc w:val="both"/>
      </w:pPr>
      <w:r>
        <w:rPr>
          <w:rFonts w:ascii="Calibri" w:hAnsi="Calibri" w:eastAsia="Calibri"/>
          <w:b w:val="0"/>
          <w:i w:val="0"/>
          <w:sz w:val="22"/>
        </w:rPr>
        <w:t>La generación IR se ejecuta solo después de validar el programa, evitando salidas intermedias inconsistentes.</w:t>
      </w:r>
    </w:p>
    <w:p>
      <w:pPr>
        <w:spacing w:before="0" w:after="120" w:line="259" w:lineRule="auto"/>
        <w:jc w:val="both"/>
      </w:pPr>
      <w:r>
        <w:rPr>
          <w:rFonts w:ascii="Calibri" w:hAnsi="Calibri" w:eastAsia="Calibri"/>
          <w:b w:val="0"/>
          <w:i w:val="0"/>
          <w:sz w:val="22"/>
        </w:rPr>
        <w:t>Como limitacion consciente, no se intenta hacer análisis de caminos para demostrar que todos los recorridos de una función no void retornan; se exige al menos un return con valor compatible, que es el criterio ya usado y cubierto por las pruebas de esta entrega. Tampoco se realiza recuperacion avanzada de errores, ya que el apartado opcional elegido ha sido la generación de código intermedio.</w:t>
      </w:r>
    </w:p>
    <w:p>
      <w:pPr>
        <w:spacing w:before="0" w:after="120" w:line="259" w:lineRule="auto"/>
        <w:jc w:val="both"/>
      </w:pPr>
      <w:r>
        <w:rPr>
          <w:rFonts w:ascii="Calibri" w:hAnsi="Calibri" w:eastAsia="Calibri"/>
          <w:b w:val="0"/>
          <w:i w:val="0"/>
          <w:sz w:val="22"/>
        </w:rPr>
        <w:t>En conjunto, la P3 completa una cadena coherente de compilación para Lava: el lexer reconoce terminales, el parser valida la forma del programa, el analizador semántico verifica tipos y ámbitos, y el modo opcional --ir produce una representación intermedia útil para futuras fases.</w:t>
      </w:r>
    </w:p>
    <w:sectPr w:rsidR="00FC693F" w:rsidRPr="0006063C" w:rsidSect="00034616">
      <w:footerReference w:type="default" r:id="rId9"/>
      <w:pgSz w:w="12240" w:h="15840"/>
      <w:pgMar w:top="1247" w:right="1417"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