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36"/>
          <w:szCs w:val="36"/>
        </w:rPr>
        <w:t xml:space="preserve">Evaluación Parcial N°1</w:t>
      </w:r>
    </w:p>
    <w:p>
      <w:pPr>
        <w:spacing w:after="80" w:line="360"/>
        <w:jc w:val="center"/>
      </w:pPr>
      <w:r>
        <w:rPr>
          <w:rFonts w:ascii="Times New Roman" w:cs="Times New Roman" w:eastAsia="Times New Roman" w:hAnsi="Times New Roman"/>
          <w:b/>
          <w:bCs/>
          <w:sz w:val="32"/>
          <w:szCs w:val="32"/>
        </w:rPr>
        <w:t xml:space="preserve">Diseño de Arquitectura de Microservicios</w:t>
      </w:r>
    </w:p>
    <w:p>
      <w:pPr>
        <w:spacing w:after="300" w:line="360"/>
        <w:jc w:val="center"/>
      </w:pPr>
      <w:r>
        <w:rPr>
          <w:rFonts w:ascii="Times New Roman" w:cs="Times New Roman" w:eastAsia="Times New Roman" w:hAnsi="Times New Roman"/>
          <w:b/>
          <w:bCs/>
          <w:color w:val="2E75B6"/>
          <w:sz w:val="28"/>
          <w:szCs w:val="28"/>
        </w:rPr>
        <w:t xml:space="preserve">Caso G: Servicio Público de Salud RedNorte</w:t>
      </w:r>
    </w:p>
    <w:p>
      <w:pPr>
        <w:spacing w:line="360"/>
      </w:pPr>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Asignatura: </w:t>
      </w:r>
      <w:r>
        <w:rPr>
          <w:rFonts w:ascii="Times New Roman" w:cs="Times New Roman" w:eastAsia="Times New Roman" w:hAnsi="Times New Roman"/>
          <w:sz w:val="24"/>
          <w:szCs w:val="24"/>
        </w:rPr>
        <w:t xml:space="preserve">Desarrollo Fullstack III (DSY1106)</w:t>
      </w:r>
    </w:p>
    <w:p>
      <w:pPr>
        <w:spacing w:after="60" w:line="360"/>
        <w:jc w:val="center"/>
      </w:pPr>
      <w:r>
        <w:rPr>
          <w:rFonts w:ascii="Times New Roman" w:cs="Times New Roman" w:eastAsia="Times New Roman" w:hAnsi="Times New Roman"/>
          <w:b/>
          <w:bCs/>
          <w:sz w:val="24"/>
          <w:szCs w:val="24"/>
        </w:rPr>
        <w:t xml:space="preserve">Docente: </w:t>
      </w:r>
      <w:r>
        <w:rPr>
          <w:rFonts w:ascii="Times New Roman" w:cs="Times New Roman" w:eastAsia="Times New Roman" w:hAnsi="Times New Roman"/>
          <w:sz w:val="24"/>
          <w:szCs w:val="24"/>
        </w:rPr>
        <w:t xml:space="preserve">Alexis Jacob Jimenes</w:t>
      </w:r>
    </w:p>
    <w:p>
      <w:pPr>
        <w:spacing w:after="60" w:line="360"/>
        <w:jc w:val="center"/>
      </w:pPr>
      <w:r>
        <w:rPr>
          <w:rFonts w:ascii="Times New Roman" w:cs="Times New Roman" w:eastAsia="Times New Roman" w:hAnsi="Times New Roman"/>
          <w:b/>
          <w:bCs/>
          <w:sz w:val="24"/>
          <w:szCs w:val="24"/>
        </w:rPr>
        <w:t xml:space="preserve">Integrantes: </w:t>
      </w:r>
      <w:r>
        <w:rPr>
          <w:rFonts w:ascii="Times New Roman" w:cs="Times New Roman" w:eastAsia="Times New Roman" w:hAnsi="Times New Roman"/>
          <w:sz w:val="24"/>
          <w:szCs w:val="24"/>
        </w:rPr>
        <w:t xml:space="preserve">Dominique Cofre, Marco Parra, Héctor Peña, Luis Inostroza</w:t>
      </w:r>
    </w:p>
    <w:p>
      <w:pPr>
        <w:spacing w:after="60" w:line="360"/>
        <w:jc w:val="center"/>
      </w:pPr>
      <w:r>
        <w:rPr>
          <w:rFonts w:ascii="Times New Roman" w:cs="Times New Roman" w:eastAsia="Times New Roman" w:hAnsi="Times New Roman"/>
          <w:b/>
          <w:bCs/>
          <w:sz w:val="24"/>
          <w:szCs w:val="24"/>
        </w:rPr>
        <w:t xml:space="preserve">Fecha: </w:t>
      </w:r>
      <w:r>
        <w:rPr>
          <w:rFonts w:ascii="Times New Roman" w:cs="Times New Roman" w:eastAsia="Times New Roman" w:hAnsi="Times New Roman"/>
          <w:sz w:val="24"/>
          <w:szCs w:val="24"/>
        </w:rPr>
        <w:t xml:space="preserve">8 de abril de 2026</w:t>
      </w:r>
    </w:p>
    <w:p>
      <w:r>
        <w:br w:type="page"/>
      </w:r>
    </w:p>
    <w:p>
      <w:pPr>
        <w:pStyle w:val="Heading2"/>
        <w:spacing w:after="120" w:before="240" w:line="360"/>
      </w:pPr>
      <w:r>
        <w:rPr>
          <w:rFonts w:ascii="Times New Roman" w:cs="Times New Roman" w:eastAsia="Times New Roman" w:hAnsi="Times New Roman"/>
          <w:b/>
          <w:bCs/>
          <w:sz w:val="28"/>
          <w:szCs w:val="28"/>
        </w:rPr>
        <w:t xml:space="preserve">1. Introducción</w:t>
      </w:r>
    </w:p>
    <w:p>
      <w:pPr>
        <w:spacing w:line="360"/>
      </w:pPr>
      <w:r>
        <w:rPr>
          <w:rFonts w:ascii="Times New Roman" w:cs="Times New Roman" w:eastAsia="Times New Roman" w:hAnsi="Times New Roman"/>
          <w:sz w:val="24"/>
          <w:szCs w:val="24"/>
        </w:rPr>
        <w:t xml:space="preserve">El presente informe aborda el análisis y diseño de una solución basada en microservicios para el Servicio Público de Salud RedNorte, una red que comprende 1 hospital de alta complejidad, 3 hospitales comunitarios, 12 centros de atención primaria y más de 2.800 funcionarios. La institución enfrenta un escenario crítico: 42.000 pacientes en lista de espera, tiempos de espera superiores a 18 meses en algunas especialidades, y entre un 12% y 18% de citas médicas que se cancelan sin reutilizarse. A esto se suma que el 72% de los pacientes desconoce su tiempo estimado de espera (Encuesta interna RedNorte, 2025).</w:t>
      </w:r>
    </w:p>
    <w:p>
      <w:pPr>
        <w:spacing w:line="360"/>
      </w:pPr>
      <w:r>
        <w:rPr>
          <w:rFonts w:ascii="Times New Roman" w:cs="Times New Roman" w:eastAsia="Times New Roman" w:hAnsi="Times New Roman"/>
          <w:sz w:val="24"/>
          <w:szCs w:val="24"/>
        </w:rPr>
        <w:t xml:space="preserve">El objetivo es proponer una arquitectura de microservicios escalable, segura y sostenible que centralice la gestión de listas de espera, automatice la reasignación de cupos cancelados y entregue transparencia a los pacientes, alineada con los estándares de la industria de software y las necesidades específicas del cliente.</w:t>
      </w:r>
    </w:p>
    <w:p>
      <w:pPr>
        <w:pStyle w:val="Heading2"/>
        <w:spacing w:after="120" w:before="240" w:line="360"/>
      </w:pPr>
      <w:r>
        <w:rPr>
          <w:rFonts w:ascii="Times New Roman" w:cs="Times New Roman" w:eastAsia="Times New Roman" w:hAnsi="Times New Roman"/>
          <w:b/>
          <w:bCs/>
          <w:sz w:val="28"/>
          <w:szCs w:val="28"/>
        </w:rPr>
        <w:t xml:space="preserve">2. Contexto y necesidades del cliente</w:t>
      </w:r>
    </w:p>
    <w:p>
      <w:pPr>
        <w:spacing w:line="360"/>
      </w:pPr>
      <w:r>
        <w:rPr>
          <w:rFonts w:ascii="Times New Roman" w:cs="Times New Roman" w:eastAsia="Times New Roman" w:hAnsi="Times New Roman"/>
          <w:sz w:val="24"/>
          <w:szCs w:val="24"/>
        </w:rPr>
        <w:t xml:space="preserve">RedNorte opera con sistemas de registro independientes en cada centro, lo que genera duplicidad de registros, información inconsistente y dificultad para consolidar datos a nivel regional. La priorización clínica depende de criterios no uniformes, y el personal administrativo gestiona citas manualmente mediante planillas. Las necesidades críticas identificadas son:</w:t>
      </w:r>
    </w:p>
    <w:p>
      <w:pPr>
        <w:spacing w:line="360"/>
      </w:pPr>
      <w:r>
        <w:rPr>
          <w:rFonts w:ascii="Times New Roman" w:cs="Times New Roman" w:eastAsia="Times New Roman" w:hAnsi="Times New Roman"/>
          <w:b/>
          <w:bCs/>
          <w:sz w:val="24"/>
          <w:szCs w:val="24"/>
        </w:rPr>
        <w:t xml:space="preserve">(a) Reducción de tiempos de espera: </w:t>
      </w:r>
      <w:r>
        <w:rPr>
          <w:rFonts w:ascii="Times New Roman" w:cs="Times New Roman" w:eastAsia="Times New Roman" w:hAnsi="Times New Roman"/>
          <w:sz w:val="24"/>
          <w:szCs w:val="24"/>
        </w:rPr>
        <w:t xml:space="preserve">Centralizar los 42.000 registros en una plataforma única con priorización estandarizada.</w:t>
      </w:r>
    </w:p>
    <w:p>
      <w:pPr>
        <w:spacing w:line="360"/>
      </w:pPr>
      <w:r>
        <w:rPr>
          <w:rFonts w:ascii="Times New Roman" w:cs="Times New Roman" w:eastAsia="Times New Roman" w:hAnsi="Times New Roman"/>
          <w:b/>
          <w:bCs/>
          <w:sz w:val="24"/>
          <w:szCs w:val="24"/>
        </w:rPr>
        <w:t xml:space="preserve">(b) Optimización de recursos: </w:t>
      </w:r>
      <w:r>
        <w:rPr>
          <w:rFonts w:ascii="Times New Roman" w:cs="Times New Roman" w:eastAsia="Times New Roman" w:hAnsi="Times New Roman"/>
          <w:sz w:val="24"/>
          <w:szCs w:val="24"/>
        </w:rPr>
        <w:t xml:space="preserve">Recuperar las horas médicas perdidas por el 12-18% de citas canceladas sin reasignar.</w:t>
      </w:r>
    </w:p>
    <w:p>
      <w:pPr>
        <w:spacing w:line="360"/>
      </w:pPr>
      <w:r>
        <w:rPr>
          <w:rFonts w:ascii="Times New Roman" w:cs="Times New Roman" w:eastAsia="Times New Roman" w:hAnsi="Times New Roman"/>
          <w:b/>
          <w:bCs/>
          <w:sz w:val="24"/>
          <w:szCs w:val="24"/>
        </w:rPr>
        <w:t xml:space="preserve">(c) Transparencia: </w:t>
      </w:r>
      <w:r>
        <w:rPr>
          <w:rFonts w:ascii="Times New Roman" w:cs="Times New Roman" w:eastAsia="Times New Roman" w:hAnsi="Times New Roman"/>
          <w:sz w:val="24"/>
          <w:szCs w:val="24"/>
        </w:rPr>
        <w:t xml:space="preserve">Permitir que los pacientes consulten su estado en la lista, reduciendo las llamadas y visitas presenciales innecesarias.</w:t>
      </w:r>
    </w:p>
    <w:p>
      <w:pPr>
        <w:spacing w:line="360"/>
      </w:pPr>
      <w:r>
        <w:rPr>
          <w:rFonts w:ascii="Times New Roman" w:cs="Times New Roman" w:eastAsia="Times New Roman" w:hAnsi="Times New Roman"/>
          <w:b/>
          <w:bCs/>
          <w:sz w:val="24"/>
          <w:szCs w:val="24"/>
        </w:rPr>
        <w:t xml:space="preserve">(d) Análisis de datos: </w:t>
      </w:r>
      <w:r>
        <w:rPr>
          <w:rFonts w:ascii="Times New Roman" w:cs="Times New Roman" w:eastAsia="Times New Roman" w:hAnsi="Times New Roman"/>
          <w:sz w:val="24"/>
          <w:szCs w:val="24"/>
        </w:rPr>
        <w:t xml:space="preserve">Proveer dashboards en tiempo real para la toma de decisiones clínicas y administrativas.</w:t>
      </w:r>
    </w:p>
    <w:p>
      <w:pPr>
        <w:spacing w:line="360"/>
      </w:pPr>
      <w:r>
        <w:rPr>
          <w:rFonts w:ascii="Times New Roman" w:cs="Times New Roman" w:eastAsia="Times New Roman" w:hAnsi="Times New Roman"/>
          <w:b/>
          <w:bCs/>
          <w:sz w:val="24"/>
          <w:szCs w:val="24"/>
        </w:rPr>
        <w:t xml:space="preserve">(e) Integración: </w:t>
      </w:r>
      <w:r>
        <w:rPr>
          <w:rFonts w:ascii="Times New Roman" w:cs="Times New Roman" w:eastAsia="Times New Roman" w:hAnsi="Times New Roman"/>
          <w:sz w:val="24"/>
          <w:szCs w:val="24"/>
        </w:rPr>
        <w:t xml:space="preserve">Conectar los sistemas hospitalarios, de atención primaria y plataformas ministeriales en una solución unificada.</w:t>
      </w:r>
    </w:p>
    <w:p>
      <w:pPr>
        <w:pStyle w:val="Heading2"/>
        <w:spacing w:after="120" w:before="240" w:line="360"/>
      </w:pPr>
      <w:r>
        <w:rPr>
          <w:rFonts w:ascii="Times New Roman" w:cs="Times New Roman" w:eastAsia="Times New Roman" w:hAnsi="Times New Roman"/>
          <w:b/>
          <w:bCs/>
          <w:sz w:val="28"/>
          <w:szCs w:val="28"/>
        </w:rPr>
        <w:t xml:space="preserve">3. Selección de patrones de arquitectura</w:t>
      </w:r>
    </w:p>
    <w:p>
      <w:pPr>
        <w:spacing w:line="360"/>
      </w:pPr>
      <w:r>
        <w:rPr>
          <w:rFonts w:ascii="Times New Roman" w:cs="Times New Roman" w:eastAsia="Times New Roman" w:hAnsi="Times New Roman"/>
          <w:sz w:val="24"/>
          <w:szCs w:val="24"/>
        </w:rPr>
        <w:t xml:space="preserve">La selección de patrones responde directamente a los requerimientos del cliente, priorizando desacoplamiento, resiliencia y escalabilidad. Cada patrón se justifica en función del problema específico que resuelve.</w:t>
      </w:r>
    </w:p>
    <w:p>
      <w:pPr>
        <w:spacing w:after="100" w:before="200" w:line="360"/>
      </w:pPr>
      <w:r>
        <w:rPr>
          <w:rFonts w:ascii="Times New Roman" w:cs="Times New Roman" w:eastAsia="Times New Roman" w:hAnsi="Times New Roman"/>
          <w:b/>
          <w:bCs/>
          <w:sz w:val="24"/>
          <w:szCs w:val="24"/>
        </w:rPr>
        <w:t xml:space="preserve">3.1 Arquitectura Hexagonal (Ports &amp; Adapters)</w:t>
      </w:r>
    </w:p>
    <w:p>
      <w:pPr>
        <w:spacing w:line="360"/>
      </w:pPr>
      <w:r>
        <w:rPr>
          <w:rFonts w:ascii="Times New Roman" w:cs="Times New Roman" w:eastAsia="Times New Roman" w:hAnsi="Times New Roman"/>
          <w:sz w:val="24"/>
          <w:szCs w:val="24"/>
        </w:rPr>
        <w:t xml:space="preserve">Se aplica como estructura interna de cada microservicio. Separa la lógica de negocio (dominio) de la infraestructura (bases de datos, APIs externas, mensajería). </w:t>
      </w:r>
      <w:r>
        <w:rPr>
          <w:rFonts w:ascii="Times New Roman" w:cs="Times New Roman" w:eastAsia="Times New Roman" w:hAnsi="Times New Roman"/>
          <w:b/>
          <w:bCs/>
          <w:sz w:val="24"/>
          <w:szCs w:val="24"/>
        </w:rPr>
        <w:t xml:space="preserve">Justificación: </w:t>
      </w:r>
      <w:r>
        <w:rPr>
          <w:rFonts w:ascii="Times New Roman" w:cs="Times New Roman" w:eastAsia="Times New Roman" w:hAnsi="Times New Roman"/>
          <w:sz w:val="24"/>
          <w:szCs w:val="24"/>
        </w:rPr>
        <w:t xml:space="preserve">RedNorte opera con sistemas hospitalarios heterogéneos que podrían cambiar en el tiempo. La Arquitectura Hexagonal permite sustituir adaptadores de infraestructura (por ejemplo, reemplazar un conector HL7 por FHIR) sin modificar la lógica de priorización clínica ni la gestión de listas. </w:t>
      </w:r>
      <w:r>
        <w:rPr>
          <w:rFonts w:ascii="Times New Roman" w:cs="Times New Roman" w:eastAsia="Times New Roman" w:hAnsi="Times New Roman"/>
          <w:b/>
          <w:bCs/>
          <w:sz w:val="24"/>
          <w:szCs w:val="24"/>
        </w:rPr>
        <w:t xml:space="preserve">Ejemplo aplicado: </w:t>
      </w:r>
      <w:r>
        <w:rPr>
          <w:rFonts w:ascii="Times New Roman" w:cs="Times New Roman" w:eastAsia="Times New Roman" w:hAnsi="Times New Roman"/>
          <w:sz w:val="24"/>
          <w:szCs w:val="24"/>
        </w:rPr>
        <w:t xml:space="preserve">En el MS Lista de Espera, el puerto de entrada recibe solicitudes de registro; el puerto de salida se conecta a PostgreSQL. Si el ministerio exige migrar a otro motor, solo se cambia el adaptador de persistencia (Gamma et al., 1994).</w:t>
      </w:r>
    </w:p>
    <w:p>
      <w:pPr>
        <w:spacing w:after="100" w:before="200" w:line="360"/>
      </w:pPr>
      <w:r>
        <w:rPr>
          <w:rFonts w:ascii="Times New Roman" w:cs="Times New Roman" w:eastAsia="Times New Roman" w:hAnsi="Times New Roman"/>
          <w:b/>
          <w:bCs/>
          <w:sz w:val="24"/>
          <w:szCs w:val="24"/>
        </w:rPr>
        <w:t xml:space="preserve">3.2 Repository Pattern + Factory Method</w:t>
      </w:r>
    </w:p>
    <w:p>
      <w:pPr>
        <w:spacing w:line="360"/>
      </w:pPr>
      <w:r>
        <w:rPr>
          <w:rFonts w:ascii="Times New Roman" w:cs="Times New Roman" w:eastAsia="Times New Roman" w:hAnsi="Times New Roman"/>
          <w:sz w:val="24"/>
          <w:szCs w:val="24"/>
        </w:rPr>
        <w:t xml:space="preserve">El Repository Pattern abstrae el acceso a datos mediante Spring Data JPA. El Factory Method crea instancias específicas según el tipo de atención. </w:t>
      </w:r>
      <w:r>
        <w:rPr>
          <w:rFonts w:ascii="Times New Roman" w:cs="Times New Roman" w:eastAsia="Times New Roman" w:hAnsi="Times New Roman"/>
          <w:b/>
          <w:bCs/>
          <w:sz w:val="24"/>
          <w:szCs w:val="24"/>
        </w:rPr>
        <w:t xml:space="preserve">Justificación: </w:t>
      </w:r>
      <w:r>
        <w:rPr>
          <w:rFonts w:ascii="Times New Roman" w:cs="Times New Roman" w:eastAsia="Times New Roman" w:hAnsi="Times New Roman"/>
          <w:sz w:val="24"/>
          <w:szCs w:val="24"/>
        </w:rPr>
        <w:t xml:space="preserve">La lista de espera maneja tres tipos de atención con reglas distintas: consultas ambulatorias (FIFO con prioridad clínica), cirugías (ventana de preparación preoperatoria) y urgencias diferidas (plazo máximo de espera). </w:t>
      </w:r>
      <w:r>
        <w:rPr>
          <w:rFonts w:ascii="Times New Roman" w:cs="Times New Roman" w:eastAsia="Times New Roman" w:hAnsi="Times New Roman"/>
          <w:b/>
          <w:bCs/>
          <w:sz w:val="24"/>
          <w:szCs w:val="24"/>
        </w:rPr>
        <w:t xml:space="preserve">Ejemplo aplicado: </w:t>
      </w:r>
      <w:r>
        <w:rPr>
          <w:rFonts w:ascii="Times New Roman" w:cs="Times New Roman" w:eastAsia="Times New Roman" w:hAnsi="Times New Roman"/>
          <w:sz w:val="24"/>
          <w:szCs w:val="24"/>
        </w:rPr>
        <w:t xml:space="preserve">WaitlistItemFactory.create("CIRUGIA", paciente) genera un objeto CirugiaWaitlistItem con validaciones específicas (exámenes previos, anestesiología), mientras que create("CONSULTA", paciente) genera ConsultaWaitlistItem con reglas de priorización FIFO (Gamma et al., 1994).</w:t>
      </w:r>
    </w:p>
    <w:p>
      <w:pPr>
        <w:spacing w:after="100" w:before="200" w:line="360"/>
      </w:pPr>
      <w:r>
        <w:rPr>
          <w:rFonts w:ascii="Times New Roman" w:cs="Times New Roman" w:eastAsia="Times New Roman" w:hAnsi="Times New Roman"/>
          <w:b/>
          <w:bCs/>
          <w:sz w:val="24"/>
          <w:szCs w:val="24"/>
        </w:rPr>
        <w:t xml:space="preserve">3.3 Event-Driven Architecture + Apache Kafka</w:t>
      </w:r>
    </w:p>
    <w:p>
      <w:pPr>
        <w:spacing w:line="360"/>
      </w:pPr>
      <w:r>
        <w:rPr>
          <w:rFonts w:ascii="Times New Roman" w:cs="Times New Roman" w:eastAsia="Times New Roman" w:hAnsi="Times New Roman"/>
          <w:sz w:val="24"/>
          <w:szCs w:val="24"/>
        </w:rPr>
        <w:t xml:space="preserve">Los microservicios se comunican de forma asíncrona mediante eventos publicados en Apache Kafka. </w:t>
      </w:r>
      <w:r>
        <w:rPr>
          <w:rFonts w:ascii="Times New Roman" w:cs="Times New Roman" w:eastAsia="Times New Roman" w:hAnsi="Times New Roman"/>
          <w:b/>
          <w:bCs/>
          <w:sz w:val="24"/>
          <w:szCs w:val="24"/>
        </w:rPr>
        <w:t xml:space="preserve">Justificación: </w:t>
      </w:r>
      <w:r>
        <w:rPr>
          <w:rFonts w:ascii="Times New Roman" w:cs="Times New Roman" w:eastAsia="Times New Roman" w:hAnsi="Times New Roman"/>
          <w:sz w:val="24"/>
          <w:szCs w:val="24"/>
        </w:rPr>
        <w:t xml:space="preserve">La reasignación de citas requiere reacción inmediata: cuando un paciente cancela, el cupo debe ofrecerse al siguiente paciente elegible antes de que se pierda la hora médica. La comunicación síncrona generaría acoplamiento y cuellos de botella. </w:t>
      </w:r>
      <w:r>
        <w:rPr>
          <w:rFonts w:ascii="Times New Roman" w:cs="Times New Roman" w:eastAsia="Times New Roman" w:hAnsi="Times New Roman"/>
          <w:b/>
          <w:bCs/>
          <w:sz w:val="24"/>
          <w:szCs w:val="24"/>
        </w:rPr>
        <w:t xml:space="preserve">Ejemplo aplicado: </w:t>
      </w:r>
      <w:r>
        <w:rPr>
          <w:rFonts w:ascii="Times New Roman" w:cs="Times New Roman" w:eastAsia="Times New Roman" w:hAnsi="Times New Roman"/>
          <w:sz w:val="24"/>
          <w:szCs w:val="24"/>
        </w:rPr>
        <w:t xml:space="preserve">Al cancelarse una cita, el MS Reasignación publica el evento CupoLiberado en el tópico Kafka; el MS Notificaciones lo consume y envía SMS/email al siguiente paciente de la lista, quien tiene 2 horas para confirmar antes de pasar al siguiente (Richardson, 2018).</w:t>
      </w:r>
    </w:p>
    <w:p>
      <w:pPr>
        <w:spacing w:after="100" w:before="200" w:line="360"/>
      </w:pPr>
      <w:r>
        <w:rPr>
          <w:rFonts w:ascii="Times New Roman" w:cs="Times New Roman" w:eastAsia="Times New Roman" w:hAnsi="Times New Roman"/>
          <w:b/>
          <w:bCs/>
          <w:sz w:val="24"/>
          <w:szCs w:val="24"/>
        </w:rPr>
        <w:t xml:space="preserve">3.4 Circuit Breaker (Resilience4j)</w:t>
      </w:r>
    </w:p>
    <w:p>
      <w:pPr>
        <w:spacing w:line="360"/>
      </w:pPr>
      <w:r>
        <w:rPr>
          <w:rFonts w:ascii="Times New Roman" w:cs="Times New Roman" w:eastAsia="Times New Roman" w:hAnsi="Times New Roman"/>
          <w:sz w:val="24"/>
          <w:szCs w:val="24"/>
        </w:rPr>
        <w:t xml:space="preserve">Se implementa en las llamadas entre microservicios y hacia sistemas externos. </w:t>
      </w:r>
      <w:r>
        <w:rPr>
          <w:rFonts w:ascii="Times New Roman" w:cs="Times New Roman" w:eastAsia="Times New Roman" w:hAnsi="Times New Roman"/>
          <w:b/>
          <w:bCs/>
          <w:sz w:val="24"/>
          <w:szCs w:val="24"/>
        </w:rPr>
        <w:t xml:space="preserve">Justificación: </w:t>
      </w:r>
      <w:r>
        <w:rPr>
          <w:rFonts w:ascii="Times New Roman" w:cs="Times New Roman" w:eastAsia="Times New Roman" w:hAnsi="Times New Roman"/>
          <w:sz w:val="24"/>
          <w:szCs w:val="24"/>
        </w:rPr>
        <w:t xml:space="preserve">RedNorte depende de sistemas hospitalarios legados cuya disponibilidad no está garantizada. Sin Circuit Breaker, una caída del sistema del hospital principal propagaría el fallo a toda la plataforma. </w:t>
      </w:r>
      <w:r>
        <w:rPr>
          <w:rFonts w:ascii="Times New Roman" w:cs="Times New Roman" w:eastAsia="Times New Roman" w:hAnsi="Times New Roman"/>
          <w:b/>
          <w:bCs/>
          <w:sz w:val="24"/>
          <w:szCs w:val="24"/>
        </w:rPr>
        <w:t xml:space="preserve">Ejemplo aplicado: </w:t>
      </w:r>
      <w:r>
        <w:rPr>
          <w:rFonts w:ascii="Times New Roman" w:cs="Times New Roman" w:eastAsia="Times New Roman" w:hAnsi="Times New Roman"/>
          <w:sz w:val="24"/>
          <w:szCs w:val="24"/>
        </w:rPr>
        <w:t xml:space="preserve">Si el sistema de agendamiento del hospital de alta complejidad no responde, el Circuit Breaker se abre tras 5 fallos consecutivos, devuelve una respuesta degradada (“cita en proceso de confirmación”) y reintenta automáticamente cada 30 segundos (Nygard, 2007).</w:t>
      </w:r>
    </w:p>
    <w:p>
      <w:pPr>
        <w:spacing w:after="100" w:before="200" w:line="360"/>
      </w:pPr>
      <w:r>
        <w:rPr>
          <w:rFonts w:ascii="Times New Roman" w:cs="Times New Roman" w:eastAsia="Times New Roman" w:hAnsi="Times New Roman"/>
          <w:b/>
          <w:bCs/>
          <w:sz w:val="24"/>
          <w:szCs w:val="24"/>
        </w:rPr>
        <w:t xml:space="preserve">3.5 API Gateway + BFF (Backend For Frontend)</w:t>
      </w:r>
    </w:p>
    <w:p>
      <w:pPr>
        <w:spacing w:line="360"/>
      </w:pPr>
      <w:r>
        <w:rPr>
          <w:rFonts w:ascii="Times New Roman" w:cs="Times New Roman" w:eastAsia="Times New Roman" w:hAnsi="Times New Roman"/>
          <w:sz w:val="24"/>
          <w:szCs w:val="24"/>
        </w:rPr>
        <w:t xml:space="preserve">Spring Cloud Gateway actúa como punto de entrada único; el BFF (Node.js/Express) agrega y adapta respuestas. </w:t>
      </w:r>
      <w:r>
        <w:rPr>
          <w:rFonts w:ascii="Times New Roman" w:cs="Times New Roman" w:eastAsia="Times New Roman" w:hAnsi="Times New Roman"/>
          <w:b/>
          <w:bCs/>
          <w:sz w:val="24"/>
          <w:szCs w:val="24"/>
        </w:rPr>
        <w:t xml:space="preserve">Justificación: </w:t>
      </w:r>
      <w:r>
        <w:rPr>
          <w:rFonts w:ascii="Times New Roman" w:cs="Times New Roman" w:eastAsia="Times New Roman" w:hAnsi="Times New Roman"/>
          <w:sz w:val="24"/>
          <w:szCs w:val="24"/>
        </w:rPr>
        <w:t xml:space="preserve">El portal de pacientes y el panel administrativo consumen datos diferentes de los mismos microservicios. El BFF evita que el frontend realice múltiples llamadas y adapta los datos al contexto de cada usuario. El API Gateway centraliza autenticación, rate limiting y ruteo (Richardson, 2018).</w:t>
      </w:r>
    </w:p>
    <w:p>
      <w:pPr>
        <w:pStyle w:val="Heading2"/>
        <w:spacing w:after="120" w:before="240" w:line="360"/>
      </w:pPr>
      <w:r>
        <w:rPr>
          <w:rFonts w:ascii="Times New Roman" w:cs="Times New Roman" w:eastAsia="Times New Roman" w:hAnsi="Times New Roman"/>
          <w:b/>
          <w:bCs/>
          <w:sz w:val="28"/>
          <w:szCs w:val="28"/>
        </w:rPr>
        <w:t xml:space="preserve">4. Diagrama de arquitectura de microservicios</w:t>
      </w:r>
    </w:p>
    <w:p>
      <w:pPr>
        <w:spacing w:line="360"/>
      </w:pPr>
      <w:r>
        <w:rPr>
          <w:rFonts w:ascii="Times New Roman" w:cs="Times New Roman" w:eastAsia="Times New Roman" w:hAnsi="Times New Roman"/>
          <w:sz w:val="24"/>
          <w:szCs w:val="24"/>
        </w:rPr>
        <w:t xml:space="preserve">A continuación se describe la arquitectura propuesta. El diagrama visual completo se adjunta como anexo.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CAPA DE ACCESO</w:t>
            </w:r>
          </w:p>
        </w:tc>
      </w:tr>
      <w:tr>
        <w:tc>
          <w:tcPr>
            <w:tcW w:type="dxa" w:w="4680"/>
            <w:gridSpan w:val="2"/>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API Gateway (Spring Cloud Gateway)
Autenticación | Rate Limiting | Ruteo</w:t>
            </w:r>
          </w:p>
        </w:tc>
        <w:tc>
          <w:tcPr>
            <w:tcW w:type="dxa" w:w="4680"/>
            <w:gridSpan w:val="2"/>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BFF (Node.js + Express)
Adapta respuestas para Frontend</w:t>
            </w:r>
          </w:p>
        </w:tc>
      </w:tr>
      <w:tr>
        <w:tc>
          <w:tcPr>
            <w:tcW w:type="dxa" w:w="9360"/>
            <w:gridSpan w:val="4"/>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BUS DE EVENTOS — Apache Kafka</w:t>
            </w:r>
          </w:p>
        </w:tc>
      </w:tr>
      <w:tr>
        <w:tc>
          <w:tcPr>
            <w:tcW w:type="dxa" w:w="9360"/>
            <w:gridSpan w:val="4"/>
            <w:tcBorders>
              <w:top w:val="single" w:color="999999" w:sz="1"/>
              <w:left w:val="single" w:color="999999" w:sz="1"/>
              <w:bottom w:val="single" w:color="999999" w:sz="1"/>
              <w:right w:val="single" w:color="999999" w:sz="1"/>
            </w:tcBorders>
            <w:shd w:fill="4472C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CAPA DE MICROSERVICIOS (Arquitectura Hexagonal interna)</w:t>
            </w:r>
          </w:p>
        </w:tc>
      </w:tr>
      <w:tr>
        <w:tc>
          <w:tcPr>
            <w:tcW w:type="dxa" w:w="23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MS Lista de Espera
(JPA + Factory Method)
PostgreSQL</w:t>
            </w:r>
          </w:p>
        </w:tc>
        <w:tc>
          <w:tcPr>
            <w:tcW w:type="dxa" w:w="23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MS Reasignación
(Event-Driven)
(Circuit Breaker)
PostgreSQL</w:t>
            </w:r>
          </w:p>
        </w:tc>
        <w:tc>
          <w:tcPr>
            <w:tcW w:type="dxa" w:w="23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MS Notificaciones
(Consumidor Kafka)
SMS / Email</w:t>
            </w:r>
          </w:p>
        </w:tc>
        <w:tc>
          <w:tcPr>
            <w:tcW w:type="dxa" w:w="234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MS Monitoreo
(Dashboards)
Prometheus + Grafana</w:t>
            </w:r>
          </w:p>
        </w:tc>
      </w:tr>
      <w:tr>
        <w:tc>
          <w:tcPr>
            <w:tcW w:type="dxa" w:w="9360"/>
            <w:gridSpan w:val="4"/>
            <w:tcBorders>
              <w:top w:val="single" w:color="999999" w:sz="1"/>
              <w:left w:val="single" w:color="999999" w:sz="1"/>
              <w:bottom w:val="single" w:color="999999" w:sz="1"/>
              <w:right w:val="single" w:color="999999" w:sz="1"/>
            </w:tcBorders>
            <w:shd w:fill="7F7F7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CAPA DE INTEGRACIÓN — Adaptadores HL7/FHIR + APIs REST</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Hospital Alta
Complejidad</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Hospitales
Comunitarios (3)</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Centros Atención
Primaria (12)</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Plataformas
Ministeriales</w:t>
            </w:r>
          </w:p>
        </w:tc>
      </w:tr>
    </w:tbl>
    <w:p>
      <w:pPr>
        <w:spacing w:after="120" w:before="60" w:line="360"/>
        <w:jc w:val="center"/>
      </w:pPr>
      <w:r>
        <w:rPr>
          <w:rFonts w:ascii="Times New Roman" w:cs="Times New Roman" w:eastAsia="Times New Roman" w:hAnsi="Times New Roman"/>
          <w:i/>
          <w:iCs/>
          <w:sz w:val="20"/>
          <w:szCs w:val="20"/>
        </w:rPr>
        <w:t xml:space="preserve">Figura 1. Esquema de arquitectura de microservicios propuesta para RedNorte.</w:t>
      </w:r>
    </w:p>
    <w:p>
      <w:pPr>
        <w:spacing w:line="360"/>
      </w:pPr>
      <w:r>
        <w:rPr>
          <w:rFonts w:ascii="Times New Roman" w:cs="Times New Roman" w:eastAsia="Times New Roman" w:hAnsi="Times New Roman"/>
          <w:sz w:val="24"/>
          <w:szCs w:val="24"/>
        </w:rPr>
        <w:t xml:space="preserve">El flujo principal opera así: las solicitudes ingresan por el API Gateway, que valida el token JWT (Keycloak) y rutea al BFF o directamente al microservicio correspondiente. Los microservicios se comunican entre sí de forma asíncrona a través de Kafka. La capa de integración conecta con los sistemas legados mediante adaptadores hexagonales, permitiendo que cada hospital se integre a su propio ritmo sin afectar el funcionamiento del sistema central.</w:t>
      </w:r>
    </w:p>
    <w:p>
      <w:pPr>
        <w:pStyle w:val="Heading2"/>
        <w:spacing w:after="120" w:before="240" w:line="360"/>
      </w:pPr>
      <w:r>
        <w:rPr>
          <w:rFonts w:ascii="Times New Roman" w:cs="Times New Roman" w:eastAsia="Times New Roman" w:hAnsi="Times New Roman"/>
          <w:b/>
          <w:bCs/>
          <w:sz w:val="28"/>
          <w:szCs w:val="28"/>
        </w:rPr>
        <w:t xml:space="preserve">5. Herramientas y estrategias para la implementación</w:t>
      </w:r>
    </w:p>
    <w:p>
      <w:pPr>
        <w:spacing w:line="360"/>
      </w:pPr>
      <w:r>
        <w:rPr>
          <w:rFonts w:ascii="Times New Roman" w:cs="Times New Roman" w:eastAsia="Times New Roman" w:hAnsi="Times New Roman"/>
          <w:b/>
          <w:bCs/>
          <w:sz w:val="24"/>
          <w:szCs w:val="24"/>
        </w:rPr>
        <w:t xml:space="preserve">Backend – Java 17 + Spring Boot 3: </w:t>
      </w:r>
      <w:r>
        <w:rPr>
          <w:rFonts w:ascii="Times New Roman" w:cs="Times New Roman" w:eastAsia="Times New Roman" w:hAnsi="Times New Roman"/>
          <w:sz w:val="24"/>
          <w:szCs w:val="24"/>
        </w:rPr>
        <w:t xml:space="preserve">Seleccionado por su ecosistema maduro para microservicios: Spring Data JPA implementa el Repository Pattern con mínimo código boilerplate, Spring Cloud Gateway provee ruteo dinámico y balanceo de carga, y Resilience4j integra Circuit Breaker de forma nativa. </w:t>
      </w:r>
      <w:r>
        <w:rPr>
          <w:rFonts w:ascii="Times New Roman" w:cs="Times New Roman" w:eastAsia="Times New Roman" w:hAnsi="Times New Roman"/>
          <w:b/>
          <w:bCs/>
          <w:sz w:val="24"/>
          <w:szCs w:val="24"/>
        </w:rPr>
        <w:t xml:space="preserve">Impacto en eficiencia: </w:t>
      </w:r>
      <w:r>
        <w:rPr>
          <w:rFonts w:ascii="Times New Roman" w:cs="Times New Roman" w:eastAsia="Times New Roman" w:hAnsi="Times New Roman"/>
          <w:sz w:val="24"/>
          <w:szCs w:val="24"/>
        </w:rPr>
        <w:t xml:space="preserve">Reduce el tiempo de desarrollo estimado en un 40% respecto a una implementación manual, ya que Spring Boot auto-configura la mayoría de los componentes de infraestructura.</w:t>
      </w:r>
    </w:p>
    <w:p>
      <w:pPr>
        <w:spacing w:line="360"/>
      </w:pPr>
      <w:r>
        <w:rPr>
          <w:rFonts w:ascii="Times New Roman" w:cs="Times New Roman" w:eastAsia="Times New Roman" w:hAnsi="Times New Roman"/>
          <w:b/>
          <w:bCs/>
          <w:sz w:val="24"/>
          <w:szCs w:val="24"/>
        </w:rPr>
        <w:t xml:space="preserve">Frontend – React + TypeScript + Vite: </w:t>
      </w:r>
      <w:r>
        <w:rPr>
          <w:rFonts w:ascii="Times New Roman" w:cs="Times New Roman" w:eastAsia="Times New Roman" w:hAnsi="Times New Roman"/>
          <w:sz w:val="24"/>
          <w:szCs w:val="24"/>
        </w:rPr>
        <w:t xml:space="preserve">React permite construir el portal de pacientes y el panel administrativo como aplicaciones SPA (Single Page Application) con componentes reutilizables. TypeScript añade tipado estático que previene errores en tiempo de desarrollo. </w:t>
      </w: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La experiencia de usuario mejora significativamente al permitir actualizaciones en tiempo real del estado de la lista de espera sin recargar la página.</w:t>
      </w:r>
    </w:p>
    <w:p>
      <w:pPr>
        <w:spacing w:line="360"/>
      </w:pPr>
      <w:r>
        <w:rPr>
          <w:rFonts w:ascii="Times New Roman" w:cs="Times New Roman" w:eastAsia="Times New Roman" w:hAnsi="Times New Roman"/>
          <w:b/>
          <w:bCs/>
          <w:sz w:val="24"/>
          <w:szCs w:val="24"/>
        </w:rPr>
        <w:t xml:space="preserve">Base de datos – PostgreSQL (Database per Service): </w:t>
      </w:r>
      <w:r>
        <w:rPr>
          <w:rFonts w:ascii="Times New Roman" w:cs="Times New Roman" w:eastAsia="Times New Roman" w:hAnsi="Times New Roman"/>
          <w:sz w:val="24"/>
          <w:szCs w:val="24"/>
        </w:rPr>
        <w:t xml:space="preserve">Cada microservicio posee su propia instancia, garantizando desacoplamiento total. Flyway gestiona migraciones de esquema de forma versionada. </w:t>
      </w: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Permite que el MS de Reasignación evolucione su modelo de datos sin afectar al MS de Lista de Espera, habilitando despliegues independientes.</w:t>
      </w:r>
    </w:p>
    <w:p>
      <w:pPr>
        <w:spacing w:line="360"/>
      </w:pPr>
      <w:r>
        <w:rPr>
          <w:rFonts w:ascii="Times New Roman" w:cs="Times New Roman" w:eastAsia="Times New Roman" w:hAnsi="Times New Roman"/>
          <w:b/>
          <w:bCs/>
          <w:sz w:val="24"/>
          <w:szCs w:val="24"/>
        </w:rPr>
        <w:t xml:space="preserve">Mensajería – Apache Kafka: </w:t>
      </w:r>
      <w:r>
        <w:rPr>
          <w:rFonts w:ascii="Times New Roman" w:cs="Times New Roman" w:eastAsia="Times New Roman" w:hAnsi="Times New Roman"/>
          <w:sz w:val="24"/>
          <w:szCs w:val="24"/>
        </w:rPr>
        <w:t xml:space="preserve">Bus de eventos con garantía de entrega y persistencia de mensajes. </w:t>
      </w:r>
      <w:r>
        <w:rPr>
          <w:rFonts w:ascii="Times New Roman" w:cs="Times New Roman" w:eastAsia="Times New Roman" w:hAnsi="Times New Roman"/>
          <w:b/>
          <w:bCs/>
          <w:sz w:val="24"/>
          <w:szCs w:val="24"/>
        </w:rPr>
        <w:t xml:space="preserve">Impacto operativo: </w:t>
      </w:r>
      <w:r>
        <w:rPr>
          <w:rFonts w:ascii="Times New Roman" w:cs="Times New Roman" w:eastAsia="Times New Roman" w:hAnsi="Times New Roman"/>
          <w:sz w:val="24"/>
          <w:szCs w:val="24"/>
        </w:rPr>
        <w:t xml:space="preserve">Al publicar el evento CupoLiberado, el sistema puede notificar a pacientes elegibles en menos de 30 segundos, frente a las horas o días que toma el proceso manual actual con planillas.</w:t>
      </w:r>
    </w:p>
    <w:p>
      <w:pPr>
        <w:spacing w:line="360"/>
      </w:pPr>
      <w:r>
        <w:rPr>
          <w:rFonts w:ascii="Times New Roman" w:cs="Times New Roman" w:eastAsia="Times New Roman" w:hAnsi="Times New Roman"/>
          <w:b/>
          <w:bCs/>
          <w:sz w:val="24"/>
          <w:szCs w:val="24"/>
        </w:rPr>
        <w:t xml:space="preserve">Despliegue – Docker + Kubernetes: </w:t>
      </w:r>
      <w:r>
        <w:rPr>
          <w:rFonts w:ascii="Times New Roman" w:cs="Times New Roman" w:eastAsia="Times New Roman" w:hAnsi="Times New Roman"/>
          <w:sz w:val="24"/>
          <w:szCs w:val="24"/>
        </w:rPr>
        <w:t xml:space="preserve">Cada servicio se empaqueta como contenedor Docker y se orquesta en Kubernetes con escalado automático (HPA). </w:t>
      </w: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Durante horarios de alta demanda (lunes 8-10 AM), Kubernetes escala automáticamente el MS de Reasignación de 2 a 6 réplicas, manteniendo tiempos de respuesta bajo 200ms.</w:t>
      </w:r>
    </w:p>
    <w:p>
      <w:pPr>
        <w:spacing w:line="360"/>
      </w:pPr>
      <w:r>
        <w:rPr>
          <w:rFonts w:ascii="Times New Roman" w:cs="Times New Roman" w:eastAsia="Times New Roman" w:hAnsi="Times New Roman"/>
          <w:b/>
          <w:bCs/>
          <w:sz w:val="24"/>
          <w:szCs w:val="24"/>
        </w:rPr>
        <w:t xml:space="preserve">CI/CD – GitHub Actions: </w:t>
      </w:r>
      <w:r>
        <w:rPr>
          <w:rFonts w:ascii="Times New Roman" w:cs="Times New Roman" w:eastAsia="Times New Roman" w:hAnsi="Times New Roman"/>
          <w:sz w:val="24"/>
          <w:szCs w:val="24"/>
        </w:rPr>
        <w:t xml:space="preserve">Pipeline automatizado que ejecuta pruebas unitarias (JUnit 5 + Mockito), análisis de cobertura (JaCoCo, umbral mínimo 80%) y construcción de imagen Docker en cada push. </w:t>
      </w: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Garantiza que ningún código con regresión llegue a producción, reduciendo incidentes post-despliegue.</w:t>
      </w:r>
    </w:p>
    <w:p>
      <w:pPr>
        <w:spacing w:line="360"/>
      </w:pPr>
      <w:r>
        <w:rPr>
          <w:rFonts w:ascii="Times New Roman" w:cs="Times New Roman" w:eastAsia="Times New Roman" w:hAnsi="Times New Roman"/>
          <w:b/>
          <w:bCs/>
          <w:sz w:val="24"/>
          <w:szCs w:val="24"/>
        </w:rPr>
        <w:t xml:space="preserve">Observabilidad – Prometheus + Grafana + ELK: </w:t>
      </w:r>
      <w:r>
        <w:rPr>
          <w:rFonts w:ascii="Times New Roman" w:cs="Times New Roman" w:eastAsia="Times New Roman" w:hAnsi="Times New Roman"/>
          <w:sz w:val="24"/>
          <w:szCs w:val="24"/>
        </w:rPr>
        <w:t xml:space="preserve">Prometheus recolecta métricas; Grafana las visualiza en los dashboards requeridos por el cliente (tiempos de espera por especialidad, cupos reasignados, disponibilidad médica). ELK centraliza logs para trazabilidad. </w:t>
      </w:r>
      <w:r>
        <w:rPr>
          <w:rFonts w:ascii="Times New Roman" w:cs="Times New Roman" w:eastAsia="Times New Roman" w:hAnsi="Times New Roman"/>
          <w:b/>
          <w:bCs/>
          <w:sz w:val="24"/>
          <w:szCs w:val="24"/>
        </w:rPr>
        <w:t xml:space="preserve">Impacto: </w:t>
      </w:r>
      <w:r>
        <w:rPr>
          <w:rFonts w:ascii="Times New Roman" w:cs="Times New Roman" w:eastAsia="Times New Roman" w:hAnsi="Times New Roman"/>
          <w:sz w:val="24"/>
          <w:szCs w:val="24"/>
        </w:rPr>
        <w:t xml:space="preserve">La Subdirectora Médica (Dra. Méndez) puede planificar la capacidad médica con datos actualizados en tiempo real, requerimiento que actualmente no puede cumplirse.</w:t>
      </w:r>
    </w:p>
    <w:p>
      <w:pPr>
        <w:pStyle w:val="Heading2"/>
        <w:spacing w:after="120" w:before="240" w:line="360"/>
      </w:pPr>
      <w:r>
        <w:rPr>
          <w:rFonts w:ascii="Times New Roman" w:cs="Times New Roman" w:eastAsia="Times New Roman" w:hAnsi="Times New Roman"/>
          <w:b/>
          <w:bCs/>
          <w:sz w:val="28"/>
          <w:szCs w:val="28"/>
        </w:rPr>
        <w:t xml:space="preserve">6. Seguridad, privacidad y sostenibilidad</w:t>
      </w:r>
    </w:p>
    <w:p>
      <w:pPr>
        <w:spacing w:after="100" w:before="200" w:line="360"/>
      </w:pPr>
      <w:r>
        <w:rPr>
          <w:rFonts w:ascii="Times New Roman" w:cs="Times New Roman" w:eastAsia="Times New Roman" w:hAnsi="Times New Roman"/>
          <w:b/>
          <w:bCs/>
          <w:sz w:val="24"/>
          <w:szCs w:val="24"/>
        </w:rPr>
        <w:t xml:space="preserve">6.1 Seguridad</w:t>
      </w:r>
    </w:p>
    <w:p>
      <w:pPr>
        <w:spacing w:line="360"/>
      </w:pPr>
      <w:r>
        <w:rPr>
          <w:rFonts w:ascii="Times New Roman" w:cs="Times New Roman" w:eastAsia="Times New Roman" w:hAnsi="Times New Roman"/>
          <w:b/>
          <w:bCs/>
          <w:sz w:val="24"/>
          <w:szCs w:val="24"/>
        </w:rPr>
        <w:t xml:space="preserve">Autenticación y autorización: </w:t>
      </w:r>
      <w:r>
        <w:rPr>
          <w:rFonts w:ascii="Times New Roman" w:cs="Times New Roman" w:eastAsia="Times New Roman" w:hAnsi="Times New Roman"/>
          <w:sz w:val="24"/>
          <w:szCs w:val="24"/>
        </w:rPr>
        <w:t xml:space="preserve">OAuth 2.0 con JWT gestionado por Keycloak. Control de acceso basado en roles (RBAC): médicos acceden a fichas clínicas, administrativos a gestión de citas, pacientes solo a su propia información. Cada token tiene tiempo de expiración de 15 minutos con refresh token rotativo.</w:t>
      </w:r>
    </w:p>
    <w:p>
      <w:pPr>
        <w:spacing w:line="360"/>
      </w:pPr>
      <w:r>
        <w:rPr>
          <w:rFonts w:ascii="Times New Roman" w:cs="Times New Roman" w:eastAsia="Times New Roman" w:hAnsi="Times New Roman"/>
          <w:b/>
          <w:bCs/>
          <w:sz w:val="24"/>
          <w:szCs w:val="24"/>
        </w:rPr>
        <w:t xml:space="preserve">Comunicaciones: </w:t>
      </w:r>
      <w:r>
        <w:rPr>
          <w:rFonts w:ascii="Times New Roman" w:cs="Times New Roman" w:eastAsia="Times New Roman" w:hAnsi="Times New Roman"/>
          <w:sz w:val="24"/>
          <w:szCs w:val="24"/>
        </w:rPr>
        <w:t xml:space="preserve">HTTPS/TLS 1.3 en la capa externa; mTLS (mutual TLS) entre microservicios dentro del clúster Kubernetes. Secretos almacenados en Kubernetes Secrets con cifrado en etcd.</w:t>
      </w:r>
    </w:p>
    <w:p>
      <w:pPr>
        <w:spacing w:line="360"/>
      </w:pPr>
      <w:r>
        <w:rPr>
          <w:rFonts w:ascii="Times New Roman" w:cs="Times New Roman" w:eastAsia="Times New Roman" w:hAnsi="Times New Roman"/>
          <w:b/>
          <w:bCs/>
          <w:sz w:val="24"/>
          <w:szCs w:val="24"/>
        </w:rPr>
        <w:t xml:space="preserve">Auditoría: </w:t>
      </w:r>
      <w:r>
        <w:rPr>
          <w:rFonts w:ascii="Times New Roman" w:cs="Times New Roman" w:eastAsia="Times New Roman" w:hAnsi="Times New Roman"/>
          <w:sz w:val="24"/>
          <w:szCs w:val="24"/>
        </w:rPr>
        <w:t xml:space="preserve">Log inmutable de cada acción crítica (modificación de prioridad, reasignación, acceso a fichas) almacenado en Elasticsearch, con retención de 5 años conforme a normativa sanitaria.</w:t>
      </w:r>
    </w:p>
    <w:p>
      <w:pPr>
        <w:spacing w:after="100" w:before="200" w:line="360"/>
      </w:pPr>
      <w:r>
        <w:rPr>
          <w:rFonts w:ascii="Times New Roman" w:cs="Times New Roman" w:eastAsia="Times New Roman" w:hAnsi="Times New Roman"/>
          <w:b/>
          <w:bCs/>
          <w:sz w:val="24"/>
          <w:szCs w:val="24"/>
        </w:rPr>
        <w:t xml:space="preserve">6.2 Privacidad</w:t>
      </w:r>
    </w:p>
    <w:p>
      <w:pPr>
        <w:spacing w:line="360"/>
      </w:pPr>
      <w:r>
        <w:rPr>
          <w:rFonts w:ascii="Times New Roman" w:cs="Times New Roman" w:eastAsia="Times New Roman" w:hAnsi="Times New Roman"/>
          <w:sz w:val="24"/>
          <w:szCs w:val="24"/>
        </w:rPr>
        <w:t xml:space="preserve">El sistema cumple con la </w:t>
      </w:r>
      <w:r>
        <w:rPr>
          <w:rFonts w:ascii="Times New Roman" w:cs="Times New Roman" w:eastAsia="Times New Roman" w:hAnsi="Times New Roman"/>
          <w:b/>
          <w:bCs/>
          <w:sz w:val="24"/>
          <w:szCs w:val="24"/>
        </w:rPr>
        <w:t xml:space="preserve">Ley 19.628 </w:t>
      </w:r>
      <w:r>
        <w:rPr>
          <w:rFonts w:ascii="Times New Roman" w:cs="Times New Roman" w:eastAsia="Times New Roman" w:hAnsi="Times New Roman"/>
          <w:sz w:val="24"/>
          <w:szCs w:val="24"/>
        </w:rPr>
        <w:t xml:space="preserve">(Protección de la Vida Privada) y la </w:t>
      </w:r>
      <w:r>
        <w:rPr>
          <w:rFonts w:ascii="Times New Roman" w:cs="Times New Roman" w:eastAsia="Times New Roman" w:hAnsi="Times New Roman"/>
          <w:b/>
          <w:bCs/>
          <w:sz w:val="24"/>
          <w:szCs w:val="24"/>
        </w:rPr>
        <w:t xml:space="preserve">Ley 20.584 </w:t>
      </w:r>
      <w:r>
        <w:rPr>
          <w:rFonts w:ascii="Times New Roman" w:cs="Times New Roman" w:eastAsia="Times New Roman" w:hAnsi="Times New Roman"/>
          <w:sz w:val="24"/>
          <w:szCs w:val="24"/>
        </w:rPr>
        <w:t xml:space="preserve">(Derechos y Deberes de los Pacientes). Los datos clínicos se cifran en reposo (AES-256) y en tránsito (TLS 1.3). Se aplica el principio de mínimo privilegio: cada microservicio accede únicamente a los datos necesarios para su función. Los pacientes ejercen sus derechos ARCO (acceso, rectificación, cancelación, oposición) a través del portal web.</w:t>
      </w:r>
    </w:p>
    <w:p>
      <w:pPr>
        <w:spacing w:after="100" w:before="200" w:line="360"/>
      </w:pPr>
      <w:r>
        <w:rPr>
          <w:rFonts w:ascii="Times New Roman" w:cs="Times New Roman" w:eastAsia="Times New Roman" w:hAnsi="Times New Roman"/>
          <w:b/>
          <w:bCs/>
          <w:sz w:val="24"/>
          <w:szCs w:val="24"/>
        </w:rPr>
        <w:t xml:space="preserve">6.3 Consideraciones éticas</w:t>
      </w:r>
    </w:p>
    <w:p>
      <w:pPr>
        <w:spacing w:line="360"/>
      </w:pPr>
      <w:r>
        <w:rPr>
          <w:rFonts w:ascii="Times New Roman" w:cs="Times New Roman" w:eastAsia="Times New Roman" w:hAnsi="Times New Roman"/>
          <w:sz w:val="24"/>
          <w:szCs w:val="24"/>
        </w:rPr>
        <w:t xml:space="preserve">La priorización clínica se basa en criterios médicos estandarizados y auditables, eliminando la discrecionalidad que actualmente genera inequidad. El algoritmo de priorización es transparente: los criterios y pesos están documentados y pueden ser auditados por la autoridad sanitaria. Se evita cualquier sesgo discriminatorio en la asignación de cupos, garantizando equidad en el acceso a la salud conforme a los valores institucionales de RedNorte (Floridi et al., 2018).</w:t>
      </w:r>
    </w:p>
    <w:p>
      <w:pPr>
        <w:spacing w:after="100" w:before="200" w:line="360"/>
      </w:pPr>
      <w:r>
        <w:rPr>
          <w:rFonts w:ascii="Times New Roman" w:cs="Times New Roman" w:eastAsia="Times New Roman" w:hAnsi="Times New Roman"/>
          <w:b/>
          <w:bCs/>
          <w:sz w:val="24"/>
          <w:szCs w:val="24"/>
        </w:rPr>
        <w:t xml:space="preserve">6.4 Sostenibilidad a largo plazo</w:t>
      </w:r>
    </w:p>
    <w:p>
      <w:pPr>
        <w:spacing w:line="360"/>
      </w:pPr>
      <w:r>
        <w:rPr>
          <w:rFonts w:ascii="Times New Roman" w:cs="Times New Roman" w:eastAsia="Times New Roman" w:hAnsi="Times New Roman"/>
          <w:b/>
          <w:bCs/>
          <w:sz w:val="24"/>
          <w:szCs w:val="24"/>
        </w:rPr>
        <w:t xml:space="preserve">Técnica: </w:t>
      </w:r>
      <w:r>
        <w:rPr>
          <w:rFonts w:ascii="Times New Roman" w:cs="Times New Roman" w:eastAsia="Times New Roman" w:hAnsi="Times New Roman"/>
          <w:sz w:val="24"/>
          <w:szCs w:val="24"/>
        </w:rPr>
        <w:t xml:space="preserve">La Arquitectura Hexagonal permite reemplazar componentes de infraestructura sin modificar la lógica de negocio. Los microservicios pueden actualizarse independientemente, reduciendo el riesgo de cada despliegue. La documentación automática de APIs (OpenAPI/Swagger) y el monitoreo continuo reducen la deuda técnica.</w:t>
      </w:r>
    </w:p>
    <w:p>
      <w:pPr>
        <w:spacing w:line="360"/>
      </w:pPr>
      <w:r>
        <w:rPr>
          <w:rFonts w:ascii="Times New Roman" w:cs="Times New Roman" w:eastAsia="Times New Roman" w:hAnsi="Times New Roman"/>
          <w:b/>
          <w:bCs/>
          <w:sz w:val="24"/>
          <w:szCs w:val="24"/>
        </w:rPr>
        <w:t xml:space="preserve">Operativa: </w:t>
      </w:r>
      <w:r>
        <w:rPr>
          <w:rFonts w:ascii="Times New Roman" w:cs="Times New Roman" w:eastAsia="Times New Roman" w:hAnsi="Times New Roman"/>
          <w:sz w:val="24"/>
          <w:szCs w:val="24"/>
        </w:rPr>
        <w:t xml:space="preserve">Kubernetes habilita el escalado horizontal: si la población atendida crece o se incorporan nuevos centros de salud, el sistema escala sin rediseño. La estrategia de CI/CD permite entregas frecuentes y controladas.</w:t>
      </w:r>
    </w:p>
    <w:p>
      <w:pPr>
        <w:spacing w:line="360"/>
      </w:pPr>
      <w:r>
        <w:rPr>
          <w:rFonts w:ascii="Times New Roman" w:cs="Times New Roman" w:eastAsia="Times New Roman" w:hAnsi="Times New Roman"/>
          <w:b/>
          <w:bCs/>
          <w:sz w:val="24"/>
          <w:szCs w:val="24"/>
        </w:rPr>
        <w:t xml:space="preserve">Ambiental: </w:t>
      </w:r>
      <w:r>
        <w:rPr>
          <w:rFonts w:ascii="Times New Roman" w:cs="Times New Roman" w:eastAsia="Times New Roman" w:hAnsi="Times New Roman"/>
          <w:sz w:val="24"/>
          <w:szCs w:val="24"/>
        </w:rPr>
        <w:t xml:space="preserve">El escalado automático optimiza el uso de recursos computacionales, reduciendo los períodos en que servidores operan subutilizados. La eliminación de procesos manuales basados en papel (planillas impresas, formularios físicos) contribuye a la reducción del impacto ambiental de la operación.</w:t>
      </w:r>
    </w:p>
    <w:p>
      <w:pPr>
        <w:pStyle w:val="Heading2"/>
        <w:spacing w:after="120" w:before="240" w:line="360"/>
      </w:pPr>
      <w:r>
        <w:rPr>
          <w:rFonts w:ascii="Times New Roman" w:cs="Times New Roman" w:eastAsia="Times New Roman" w:hAnsi="Times New Roman"/>
          <w:b/>
          <w:bCs/>
          <w:sz w:val="28"/>
          <w:szCs w:val="28"/>
        </w:rPr>
        <w:t xml:space="preserve">7. Evaluación general del diseño</w:t>
      </w:r>
    </w:p>
    <w:p>
      <w:pPr>
        <w:spacing w:after="100" w:before="200" w:line="360"/>
      </w:pPr>
      <w:r>
        <w:rPr>
          <w:rFonts w:ascii="Times New Roman" w:cs="Times New Roman" w:eastAsia="Times New Roman" w:hAnsi="Times New Roman"/>
          <w:b/>
          <w:bCs/>
          <w:sz w:val="24"/>
          <w:szCs w:val="24"/>
        </w:rPr>
        <w:t xml:space="preserve">7.1 Cumplimiento de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jc w:val="center"/>
            </w:pPr>
            <w:r>
              <w:rPr>
                <w:rFonts w:ascii="Times New Roman" w:cs="Times New Roman" w:eastAsia="Times New Roman" w:hAnsi="Times New Roman"/>
                <w:b/>
                <w:bCs/>
                <w:color w:val="FFFFFF"/>
                <w:sz w:val="20"/>
                <w:szCs w:val="20"/>
              </w:rPr>
              <w:t xml:space="preserve">Requerimiento</w:t>
            </w:r>
          </w:p>
        </w:tc>
        <w:tc>
          <w:tcPr>
            <w:tcW w:type="dxa" w:w="2800"/>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jc w:val="center"/>
            </w:pPr>
            <w:r>
              <w:rPr>
                <w:rFonts w:ascii="Times New Roman" w:cs="Times New Roman" w:eastAsia="Times New Roman" w:hAnsi="Times New Roman"/>
                <w:b/>
                <w:bCs/>
                <w:color w:val="FFFFFF"/>
                <w:sz w:val="20"/>
                <w:szCs w:val="20"/>
              </w:rPr>
              <w:t xml:space="preserve">Componente</w:t>
            </w:r>
          </w:p>
        </w:tc>
        <w:tc>
          <w:tcPr>
            <w:tcW w:type="dxa" w:w="4360"/>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jc w:val="center"/>
            </w:pPr>
            <w:r>
              <w:rPr>
                <w:rFonts w:ascii="Times New Roman" w:cs="Times New Roman" w:eastAsia="Times New Roman" w:hAnsi="Times New Roman"/>
                <w:b/>
                <w:bCs/>
                <w:color w:val="FFFFFF"/>
                <w:sz w:val="20"/>
                <w:szCs w:val="20"/>
              </w:rPr>
              <w:t xml:space="preserve">Cómo se cumple</w:t>
            </w:r>
          </w:p>
        </w:tc>
      </w:tr>
      <w:tr>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Sistema integrado de listas de espera</w:t>
            </w:r>
          </w:p>
        </w:tc>
        <w:tc>
          <w:tcPr>
            <w:tcW w:type="dxa" w:w="28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MS Lista de Espera + PostgreSQL + Factory Method</w:t>
            </w:r>
          </w:p>
        </w:tc>
        <w:tc>
          <w:tcPr>
            <w:tcW w:type="dxa" w:w="43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Centraliza 42.000 registros; priorización estandarizada por tipo de atención</w:t>
            </w:r>
          </w:p>
        </w:tc>
      </w:tr>
      <w:tr>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Reasignación automática de citas</w:t>
            </w:r>
          </w:p>
        </w:tc>
        <w:tc>
          <w:tcPr>
            <w:tcW w:type="dxa" w:w="28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MS Reasignación + Kafka + Circuit Breaker</w:t>
            </w:r>
          </w:p>
        </w:tc>
        <w:tc>
          <w:tcPr>
            <w:tcW w:type="dxa" w:w="43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Recupera cupos cancelados en &lt;30s; tolerante a fallos de sistemas externos</w:t>
            </w:r>
          </w:p>
        </w:tc>
      </w:tr>
      <w:tr>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Portal de información para pacientes</w:t>
            </w:r>
          </w:p>
        </w:tc>
        <w:tc>
          <w:tcPr>
            <w:tcW w:type="dxa" w:w="28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React + BFF + Keycloak</w:t>
            </w:r>
          </w:p>
        </w:tc>
        <w:tc>
          <w:tcPr>
            <w:tcW w:type="dxa" w:w="43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El 72% que desconocía su estado ahora consulta en línea; reduce llamadas y visitas</w:t>
            </w:r>
          </w:p>
        </w:tc>
      </w:tr>
      <w:tr>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Paneles de monitoreo</w:t>
            </w:r>
          </w:p>
        </w:tc>
        <w:tc>
          <w:tcPr>
            <w:tcW w:type="dxa" w:w="28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Prometheus + Grafana</w:t>
            </w:r>
          </w:p>
        </w:tc>
        <w:tc>
          <w:tcPr>
            <w:tcW w:type="dxa" w:w="43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Dashboards en tiempo real de tiempos de espera, cupos y disponibilidad médica</w:t>
            </w:r>
          </w:p>
        </w:tc>
      </w:tr>
      <w:tr>
        <w:tc>
          <w:tcPr>
            <w:tcW w:type="dxa" w:w="22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Integración con sistemas hospitalarios</w:t>
            </w:r>
          </w:p>
        </w:tc>
        <w:tc>
          <w:tcPr>
            <w:tcW w:type="dxa" w:w="280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Adaptadores Hexagonales + HL7/FHIR</w:t>
            </w:r>
          </w:p>
        </w:tc>
        <w:tc>
          <w:tcPr>
            <w:tcW w:type="dxa" w:w="4360"/>
            <w:tcBorders>
              <w:top w:val="single" w:color="AAAAAA" w:sz="1"/>
              <w:left w:val="single" w:color="AAAAAA" w:sz="1"/>
              <w:bottom w:val="single" w:color="AAAAAA" w:sz="1"/>
              <w:right w:val="single" w:color="AAAAAA" w:sz="1"/>
            </w:tcBorders>
            <w:tcMar>
              <w:top w:type="dxa" w:w="50"/>
              <w:left w:type="dxa" w:w="80"/>
              <w:bottom w:type="dxa" w:w="50"/>
              <w:right w:type="dxa" w:w="80"/>
            </w:tcMar>
          </w:tcPr>
          <w:p>
            <w:r>
              <w:rPr>
                <w:rFonts w:ascii="Times New Roman" w:cs="Times New Roman" w:eastAsia="Times New Roman" w:hAnsi="Times New Roman"/>
                <w:sz w:val="20"/>
                <w:szCs w:val="20"/>
              </w:rPr>
              <w:t xml:space="preserve">Integración progresiva sin afectar operación; compatible con estándares de salud</w:t>
            </w:r>
          </w:p>
        </w:tc>
      </w:tr>
    </w:tbl>
    <w:p>
      <w:pPr>
        <w:spacing w:after="120" w:before="60" w:line="360"/>
        <w:jc w:val="center"/>
      </w:pPr>
      <w:r>
        <w:rPr>
          <w:rFonts w:ascii="Times New Roman" w:cs="Times New Roman" w:eastAsia="Times New Roman" w:hAnsi="Times New Roman"/>
          <w:i/>
          <w:iCs/>
          <w:sz w:val="20"/>
          <w:szCs w:val="20"/>
        </w:rPr>
        <w:t xml:space="preserve">Tabla 1. Mapeo de requerimientos funcionales del cliente con componentes de la arquitectura.</w:t>
      </w:r>
    </w:p>
    <w:p>
      <w:pPr>
        <w:spacing w:after="100" w:before="200" w:line="360"/>
      </w:pPr>
      <w:r>
        <w:rPr>
          <w:rFonts w:ascii="Times New Roman" w:cs="Times New Roman" w:eastAsia="Times New Roman" w:hAnsi="Times New Roman"/>
          <w:b/>
          <w:bCs/>
          <w:sz w:val="24"/>
          <w:szCs w:val="24"/>
        </w:rPr>
        <w:t xml:space="preserve">7.2 Fortalezas</w:t>
      </w:r>
    </w:p>
    <w:p>
      <w:pPr>
        <w:spacing w:line="360"/>
      </w:pPr>
      <w:r>
        <w:rPr>
          <w:rFonts w:ascii="Times New Roman" w:cs="Times New Roman" w:eastAsia="Times New Roman" w:hAnsi="Times New Roman"/>
          <w:sz w:val="24"/>
          <w:szCs w:val="24"/>
        </w:rPr>
        <w:t xml:space="preserve">La separación en microservicios especializados refleja los dominios funcionales del negocio, permitiendo desarrollo autónomo por equipos. La comunicación asíncrona vía Kafka desacopla la reasignación de la gestión de listas, evitando cuellos de botella. La Arquitectura Hexagonal protege la lógica de negocio de cambios en la infraestructura, y el Circuit Breaker garantiza que la caída de un sistema legado no comprometa la plataforma completa.</w:t>
      </w:r>
    </w:p>
    <w:p>
      <w:pPr>
        <w:spacing w:after="100" w:before="200" w:line="360"/>
      </w:pPr>
      <w:r>
        <w:rPr>
          <w:rFonts w:ascii="Times New Roman" w:cs="Times New Roman" w:eastAsia="Times New Roman" w:hAnsi="Times New Roman"/>
          <w:b/>
          <w:bCs/>
          <w:sz w:val="24"/>
          <w:szCs w:val="24"/>
        </w:rPr>
        <w:t xml:space="preserve">7.3 Riesgos y mitigación</w:t>
      </w:r>
    </w:p>
    <w:p>
      <w:pPr>
        <w:spacing w:line="360"/>
      </w:pPr>
      <w:r>
        <w:rPr>
          <w:rFonts w:ascii="Times New Roman" w:cs="Times New Roman" w:eastAsia="Times New Roman" w:hAnsi="Times New Roman"/>
          <w:b/>
          <w:bCs/>
          <w:sz w:val="24"/>
          <w:szCs w:val="24"/>
        </w:rPr>
        <w:t xml:space="preserve">Complejidad operacional: </w:t>
      </w:r>
      <w:r>
        <w:rPr>
          <w:rFonts w:ascii="Times New Roman" w:cs="Times New Roman" w:eastAsia="Times New Roman" w:hAnsi="Times New Roman"/>
          <w:sz w:val="24"/>
          <w:szCs w:val="24"/>
        </w:rPr>
        <w:t xml:space="preserve">Mantener Kafka, Kubernetes y múltiples microservicios requiere experiencia DevOps. </w:t>
      </w:r>
      <w:r>
        <w:rPr>
          <w:rFonts w:ascii="Times New Roman" w:cs="Times New Roman" w:eastAsia="Times New Roman" w:hAnsi="Times New Roman"/>
          <w:b/>
          <w:bCs/>
          <w:sz w:val="24"/>
          <w:szCs w:val="24"/>
        </w:rPr>
        <w:t xml:space="preserve">Mitigación: </w:t>
      </w:r>
      <w:r>
        <w:rPr>
          <w:rFonts w:ascii="Times New Roman" w:cs="Times New Roman" w:eastAsia="Times New Roman" w:hAnsi="Times New Roman"/>
          <w:sz w:val="24"/>
          <w:szCs w:val="24"/>
        </w:rPr>
        <w:t xml:space="preserve">Implementación por fases — Fase 1: MS Lista de Espera + portal de pacientes; Fase 2: MS Reasignación + Notificaciones; Fase 3: integraciones externas.</w:t>
      </w:r>
    </w:p>
    <w:p>
      <w:pPr>
        <w:spacing w:line="360"/>
      </w:pPr>
      <w:r>
        <w:rPr>
          <w:rFonts w:ascii="Times New Roman" w:cs="Times New Roman" w:eastAsia="Times New Roman" w:hAnsi="Times New Roman"/>
          <w:b/>
          <w:bCs/>
          <w:sz w:val="24"/>
          <w:szCs w:val="24"/>
        </w:rPr>
        <w:t xml:space="preserve">Integración con sistemas legados: </w:t>
      </w:r>
      <w:r>
        <w:rPr>
          <w:rFonts w:ascii="Times New Roman" w:cs="Times New Roman" w:eastAsia="Times New Roman" w:hAnsi="Times New Roman"/>
          <w:sz w:val="24"/>
          <w:szCs w:val="24"/>
        </w:rPr>
        <w:t xml:space="preserve">Los sistemas hospitalarios pueden no tener APIs disponibles. </w:t>
      </w:r>
      <w:r>
        <w:rPr>
          <w:rFonts w:ascii="Times New Roman" w:cs="Times New Roman" w:eastAsia="Times New Roman" w:hAnsi="Times New Roman"/>
          <w:b/>
          <w:bCs/>
          <w:sz w:val="24"/>
          <w:szCs w:val="24"/>
        </w:rPr>
        <w:t xml:space="preserve">Mitigación: </w:t>
      </w:r>
      <w:r>
        <w:rPr>
          <w:rFonts w:ascii="Times New Roman" w:cs="Times New Roman" w:eastAsia="Times New Roman" w:hAnsi="Times New Roman"/>
          <w:sz w:val="24"/>
          <w:szCs w:val="24"/>
        </w:rPr>
        <w:t xml:space="preserve">Los adaptadores hexagonales permiten conectores personalizados (archivos CSV, protocolos propietarios) como solución transitoria mientras se implementan interfaces estándar.</w:t>
      </w:r>
    </w:p>
    <w:p>
      <w:pPr>
        <w:spacing w:line="360"/>
      </w:pPr>
      <w:r>
        <w:rPr>
          <w:rFonts w:ascii="Times New Roman" w:cs="Times New Roman" w:eastAsia="Times New Roman" w:hAnsi="Times New Roman"/>
          <w:b/>
          <w:bCs/>
          <w:sz w:val="24"/>
          <w:szCs w:val="24"/>
        </w:rPr>
        <w:t xml:space="preserve">Resistencia al cambio: </w:t>
      </w:r>
      <w:r>
        <w:rPr>
          <w:rFonts w:ascii="Times New Roman" w:cs="Times New Roman" w:eastAsia="Times New Roman" w:hAnsi="Times New Roman"/>
          <w:sz w:val="24"/>
          <w:szCs w:val="24"/>
        </w:rPr>
        <w:t xml:space="preserve">El personal administrativo trabaja con planillas hace años. </w:t>
      </w:r>
      <w:r>
        <w:rPr>
          <w:rFonts w:ascii="Times New Roman" w:cs="Times New Roman" w:eastAsia="Times New Roman" w:hAnsi="Times New Roman"/>
          <w:b/>
          <w:bCs/>
          <w:sz w:val="24"/>
          <w:szCs w:val="24"/>
        </w:rPr>
        <w:t xml:space="preserve">Mitigación: </w:t>
      </w:r>
      <w:r>
        <w:rPr>
          <w:rFonts w:ascii="Times New Roman" w:cs="Times New Roman" w:eastAsia="Times New Roman" w:hAnsi="Times New Roman"/>
          <w:sz w:val="24"/>
          <w:szCs w:val="24"/>
        </w:rPr>
        <w:t xml:space="preserve">Capacitación progresiva y diseño de interfaz intuitiva con el apoyo del Jefe de Transformación Digital (Matías Rojas).</w:t>
      </w:r>
    </w:p>
    <w:p>
      <w:pPr>
        <w:spacing w:after="100" w:before="200" w:line="360"/>
      </w:pPr>
      <w:r>
        <w:rPr>
          <w:rFonts w:ascii="Times New Roman" w:cs="Times New Roman" w:eastAsia="Times New Roman" w:hAnsi="Times New Roman"/>
          <w:b/>
          <w:bCs/>
          <w:sz w:val="24"/>
          <w:szCs w:val="24"/>
        </w:rPr>
        <w:t xml:space="preserve">7.4 Conclusión</w:t>
      </w:r>
    </w:p>
    <w:p>
      <w:pPr>
        <w:spacing w:line="360"/>
      </w:pPr>
      <w:r>
        <w:rPr>
          <w:rFonts w:ascii="Times New Roman" w:cs="Times New Roman" w:eastAsia="Times New Roman" w:hAnsi="Times New Roman"/>
          <w:sz w:val="24"/>
          <w:szCs w:val="24"/>
        </w:rPr>
        <w:t xml:space="preserve">El diseño propuesto es coherente, escalable y éticamente responsable. Cada patrón y herramienta seleccionada se vincula directamente con un problema específico de RedNorte, desde la priorización inequitativa hasta las horas médicas perdidas. La arquitectura cumple con las normativas chilenas de protección de datos y derechos de pacientes, y su diseño modular garantiza sostenibilidad técnica, operativa y ambiental a largo plazo.</w:t>
      </w:r>
    </w:p>
    <w:p>
      <w:pPr>
        <w:pStyle w:val="Heading2"/>
        <w:spacing w:after="120" w:before="240" w:line="360"/>
      </w:pPr>
      <w:r>
        <w:rPr>
          <w:rFonts w:ascii="Times New Roman" w:cs="Times New Roman" w:eastAsia="Times New Roman" w:hAnsi="Times New Roman"/>
          <w:b/>
          <w:bCs/>
          <w:sz w:val="28"/>
          <w:szCs w:val="28"/>
        </w:rPr>
        <w:t xml:space="preserve">Referencias</w:t>
      </w:r>
    </w:p>
    <w:p>
      <w:pPr>
        <w:spacing w:line="360"/>
      </w:pPr>
      <w:r>
        <w:rPr>
          <w:rFonts w:ascii="Times New Roman" w:cs="Times New Roman" w:eastAsia="Times New Roman" w:hAnsi="Times New Roman"/>
          <w:sz w:val="22"/>
          <w:szCs w:val="22"/>
        </w:rPr>
        <w:t xml:space="preserve">Floridi, L., Cowls, J., Beltrametti, M., Chatila, R., Chazerand, P., Dignum, V., ... &amp; Vayena, E. (2018). AI4People—An Ethical Framework for a Good AI Society. </w:t>
      </w:r>
      <w:r>
        <w:rPr>
          <w:rFonts w:ascii="Times New Roman" w:cs="Times New Roman" w:eastAsia="Times New Roman" w:hAnsi="Times New Roman"/>
          <w:i/>
          <w:iCs/>
          <w:sz w:val="22"/>
          <w:szCs w:val="22"/>
        </w:rPr>
        <w:t xml:space="preserve">Minds and Machines, 28</w:t>
      </w:r>
      <w:r>
        <w:rPr>
          <w:rFonts w:ascii="Times New Roman" w:cs="Times New Roman" w:eastAsia="Times New Roman" w:hAnsi="Times New Roman"/>
          <w:sz w:val="22"/>
          <w:szCs w:val="22"/>
        </w:rPr>
        <w:t xml:space="preserve">(4), 689–707.</w:t>
      </w:r>
    </w:p>
    <w:p>
      <w:pPr>
        <w:spacing w:line="360"/>
      </w:pPr>
      <w:r>
        <w:rPr>
          <w:rFonts w:ascii="Times New Roman" w:cs="Times New Roman" w:eastAsia="Times New Roman" w:hAnsi="Times New Roman"/>
          <w:sz w:val="22"/>
          <w:szCs w:val="22"/>
        </w:rPr>
        <w:t xml:space="preserve">Gamma, E., Helm, R., Johnson, R., &amp; Vlissides, J. (1994). </w:t>
      </w:r>
      <w:r>
        <w:rPr>
          <w:rFonts w:ascii="Times New Roman" w:cs="Times New Roman" w:eastAsia="Times New Roman" w:hAnsi="Times New Roman"/>
          <w:i/>
          <w:iCs/>
          <w:sz w:val="22"/>
          <w:szCs w:val="22"/>
        </w:rPr>
        <w:t xml:space="preserve">Design Patterns: Elements of Reusable Object-Oriented Software.</w:t>
      </w:r>
      <w:r>
        <w:rPr>
          <w:rFonts w:ascii="Times New Roman" w:cs="Times New Roman" w:eastAsia="Times New Roman" w:hAnsi="Times New Roman"/>
          <w:sz w:val="22"/>
          <w:szCs w:val="22"/>
        </w:rPr>
        <w:t xml:space="preserve"> Addison-Wesley.</w:t>
      </w:r>
    </w:p>
    <w:p>
      <w:pPr>
        <w:spacing w:line="360"/>
      </w:pPr>
      <w:r>
        <w:rPr>
          <w:rFonts w:ascii="Times New Roman" w:cs="Times New Roman" w:eastAsia="Times New Roman" w:hAnsi="Times New Roman"/>
          <w:sz w:val="22"/>
          <w:szCs w:val="22"/>
        </w:rPr>
        <w:t xml:space="preserve">Nygard, M. T. (2007). </w:t>
      </w:r>
      <w:r>
        <w:rPr>
          <w:rFonts w:ascii="Times New Roman" w:cs="Times New Roman" w:eastAsia="Times New Roman" w:hAnsi="Times New Roman"/>
          <w:i/>
          <w:iCs/>
          <w:sz w:val="22"/>
          <w:szCs w:val="22"/>
        </w:rPr>
        <w:t xml:space="preserve">Release It! Design and Deploy Production-Ready Software.</w:t>
      </w:r>
      <w:r>
        <w:rPr>
          <w:rFonts w:ascii="Times New Roman" w:cs="Times New Roman" w:eastAsia="Times New Roman" w:hAnsi="Times New Roman"/>
          <w:sz w:val="22"/>
          <w:szCs w:val="22"/>
        </w:rPr>
        <w:t xml:space="preserve"> Pragmatic Bookshelf.</w:t>
      </w:r>
    </w:p>
    <w:p>
      <w:pPr>
        <w:spacing w:line="360"/>
      </w:pPr>
      <w:r>
        <w:rPr>
          <w:rFonts w:ascii="Times New Roman" w:cs="Times New Roman" w:eastAsia="Times New Roman" w:hAnsi="Times New Roman"/>
          <w:sz w:val="22"/>
          <w:szCs w:val="22"/>
        </w:rPr>
        <w:t xml:space="preserve">Richardson, C. (2018). </w:t>
      </w:r>
      <w:r>
        <w:rPr>
          <w:rFonts w:ascii="Times New Roman" w:cs="Times New Roman" w:eastAsia="Times New Roman" w:hAnsi="Times New Roman"/>
          <w:i/>
          <w:iCs/>
          <w:sz w:val="22"/>
          <w:szCs w:val="22"/>
        </w:rPr>
        <w:t xml:space="preserve">Microservices Patterns: With Examples in Java.</w:t>
      </w:r>
      <w:r>
        <w:rPr>
          <w:rFonts w:ascii="Times New Roman" w:cs="Times New Roman" w:eastAsia="Times New Roman" w:hAnsi="Times New Roman"/>
          <w:sz w:val="22"/>
          <w:szCs w:val="22"/>
        </w:rPr>
        <w:t xml:space="preserve"> Manning Publications.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Desarrollo Fullstack III – Evaluación Parcial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2026-04-07T01:23:55.513Z</dcterms:created>
  <dcterms:modified xsi:type="dcterms:W3CDTF">2026-04-07T01:23:55.514Z</dcterms:modified>
</cp:coreProperties>
</file>

<file path=docProps/custom.xml><?xml version="1.0" encoding="utf-8"?>
<Properties xmlns="http://schemas.openxmlformats.org/officeDocument/2006/custom-properties" xmlns:vt="http://schemas.openxmlformats.org/officeDocument/2006/docPropsVTypes"/>
</file>