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LARIOTECH INDUSTRIALE S.P.A.</w:t>
      </w:r>
    </w:p>
    <w:p>
      <w:pPr>
        <w:pStyle w:val="Heading1"/>
      </w:pPr>
      <w:r>
        <w:t>Estratto della Nota Integrativa al Bilancio Chiuso al 31/12/2025</w:t>
      </w:r>
    </w:p>
    <w:p>
      <w:r>
        <w:t>Il presente estratto si focalizza su due aspetti critici della valutazione delle voci di bilancio per l'esercizio chiuso al 31 dicembre 2025, al fine di fornire un quadro di riferimento per i revisori e l'analisi finanziaria.</w:t>
      </w:r>
    </w:p>
    <w:p>
      <w:pPr>
        <w:pStyle w:val="Heading2"/>
      </w:pPr>
      <w:r>
        <w:t>1. Criteri di Valutazione delle Immobilizzazioni Immateriali (R&amp;D)</w:t>
      </w:r>
    </w:p>
    <w:p>
      <w:r>
        <w:t>I costi di ricerca e sviluppo aventi utilità pluriennale sono iscritti nell'attivo dello Stato Patrimoniale con il consenso del Collegio Sindacale, ai sensi dei principi contabili nazionali (OIC 24). Nel corso dell'esercizio 2025, in corrispondenza del calo dei margini operativi tradizionali, la società ha proceduto alla capitalizzazione massiccia di costi operativi e di sviluppo per un importo pari a Euro 2.850.000 (contro i soli Euro 400.000 dell'esercizio precedente). Tali costi sono stati interamente imputati a progetti legati alla transizione 'Industria 4.0'.</w:t>
      </w:r>
    </w:p>
    <w:p>
      <w:r>
        <w:t>Tale capitalizzazione ha permesso di differire l'impatto economico di tali oneri, consentendo la chiusura dell'esercizio con un Utile Netto positivo. La Direzione ritiene che tali investimenti genereranno flussi di cassa futuri sufficienti a garantirne l'ammortamento, nonostante l'assenza di contratti in essere che ne confermino l'immediata commerciabilità.</w:t>
      </w:r>
    </w:p>
    <w:p>
      <w:pPr>
        <w:pStyle w:val="Heading2"/>
      </w:pPr>
      <w:r>
        <w:t>2. Composizione e Valutazione delle Rimanenze di Magazzino</w:t>
      </w:r>
    </w:p>
    <w:p>
      <w:r>
        <w:t xml:space="preserve">Le rimanenze di magazzino sono iscritte al minore tra il costo di acquisto/produzione e il valore di mercato. Al 31 dicembre 2025, il valore totale del magazzino ammonta a Euro 4.650.000, evidenziando un incremento del 45% rispetto al 2024. </w:t>
      </w:r>
    </w:p>
    <w:p>
      <w:r>
        <w:t>Si segnala, in particolare, che all'interno di questa voce sono mantenuti a valore di costo storico componenti hardware di precedente generazione (tecnologia legacy) per un valore stimato di Euro 1.950.000. La Direzione aziendale ha deliberato di non procedere ad alcun accantonamento al Fondo Svalutazione Magazzino, ritenendo che non vi sia un rischio di obsolescenza e confidando in una ricollocazione nel mercato secondario nel corso del prossimo esercizio, benché la rotazione di tali articoli (inventory turnover) sia attualmente pari a zero da oltre 14 mesi.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