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LARIOTECH INDUSTRIALE S.P.A.</w:t>
      </w:r>
    </w:p>
    <w:p>
      <w:pPr>
        <w:pStyle w:val="Heading1"/>
      </w:pPr>
      <w:r>
        <w:t>Relazione sulla Gestione - Esercizio 2025</w:t>
      </w:r>
    </w:p>
    <w:p>
      <w:pPr>
        <w:pStyle w:val="Heading2"/>
      </w:pPr>
      <w:r>
        <w:t>1. Andamento macroeconomico e posizionamento di mercato</w:t>
      </w:r>
    </w:p>
    <w:p>
      <w:r>
        <w:t>L'esercizio 2025 si è chiuso con un risultato netto positivo, confermando la resilienza di LarioTech nonostante un contesto macroeconomico sfidante. Il Consiglio di Amministrazione esprime profonda soddisfazione per la transizione strategica verso le tecnologie di automazione avanzata (Industria 4.0). I ricavi complessivi sono rimasti sostanzialmente stabili, ma le proiezioni per il 2026 indicano una forte crescita grazie alle nuove partnership commerciali in fase di definizione.</w:t>
      </w:r>
    </w:p>
    <w:p>
      <w:pPr>
        <w:pStyle w:val="Heading2"/>
      </w:pPr>
      <w:r>
        <w:t>2. Evoluzione della gestione finanziaria e patrimoniale</w:t>
      </w:r>
    </w:p>
    <w:p>
      <w:r>
        <w:t>L'esercizio evidenzia un Utile Netto di Euro 420.000. Desideriamo sottolineare come questo risultato sia stato raggiunto nonostante il massiccio sforzo in Ricerca e Sviluppo che ha caratterizzato l'anno. A livello finanziario, i flussi di cassa della gestione operativa (Cash Flow from Operations) si sono assestati su un valore negativo pari a Euro -1.250.000, principalmente a causa dell'assorbimento di liquidità legato all'aumento delle rimanenze di magazzino e ai fisiologici ritardi negli incassi dei nuovi clienti del segmento robotica.</w:t>
      </w:r>
    </w:p>
    <w:p>
      <w:r>
        <w:t>Per sostenere i piani di crescita e far fronte alle esigenze temporanee di capitale circolante, nel corso del Q4 2025 la Società ha acceso nuove linee di credito a breve termine presso istituti bancari per Euro 1.500.000. Il CdA ritiene che la tensione di liquidità sia sotto controllo e del tutto temporanea, destinata a rientrare non appena le nuove linee di prodotto verranno introdotte sul mercato nel 2026.</w:t>
      </w:r>
    </w:p>
    <w:p>
      <w:pPr>
        <w:pStyle w:val="Heading2"/>
      </w:pPr>
      <w:r>
        <w:t>3. Prospettive per l'esercizio 2026 (Outlook)</w:t>
      </w:r>
    </w:p>
    <w:p>
      <w:r>
        <w:t>Per l'esercizio 2026 prevediamo un'aggressiva espansione commerciale che coinvolgerà attivamente i nostri principali distributori. La Direzione Commerciale ha già predisposto piani di incentivazione e sconti (trade discounts) estremamente vantaggiosi per accelerare il sell-in e massimizzare le spedizioni. Siamo fiduciosi che il mercato assorbirà rapidamente i nostri volumi, efficientando la rotazione delle giacenze.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