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043"/>
          <w:sz w:val="40"/>
        </w:rPr>
        <w:t>LARIOTECH INDUSTRIALE S.P.A.</w:t>
      </w:r>
    </w:p>
    <w:p>
      <w:pPr>
        <w:jc w:val="center"/>
      </w:pPr>
      <w:r>
        <w:rPr>
          <w:b/>
          <w:color w:val="46505F"/>
          <w:sz w:val="28"/>
        </w:rPr>
        <w:t>Report Finanziario Trimestrale - Primo Trimestre 2026 (Q1)</w:t>
      </w:r>
    </w:p>
    <w:p/>
    <w:p>
      <w:pPr>
        <w:pStyle w:val="Heading1"/>
      </w:pPr>
      <w:r>
        <w:t>1. Sintesi dell'Andamento Gestionale nel Q1 2026</w:t>
      </w:r>
    </w:p>
    <w:p>
      <w:r>
        <w:t>Nel corso del primo trimestre dell'esercizio 2026 (1° gennaio 2026 - 31 marzo 2026), LarioTech Industriale S.p.A. ha proseguito le attività di sviluppo e commercializzazione nel settore dell'automazione e della robotica industriale. I ricavi del trimestre si attestano a Euro 4.850.000, segnando un leggero incremento rispetto allo stesso periodo dell'anno precedente (Euro 4.600.000 nel Q1 2025).</w:t>
      </w:r>
    </w:p>
    <w:p>
      <w:r>
        <w:t>L'EBITDA e l'Utile Netto trimestrale risultano positivi, rispettivamente pari a Euro 620.000 ed Euro 85.000. Tuttavia, si osserva un ulteriore irrigidimento del capitale circolante netto, guidato dal costante aumento dei crediti verso clienti e dal permanere di un livello elevato di giacenze di magazzino.</w:t>
      </w:r>
    </w:p>
    <w:p>
      <w:pPr>
        <w:pStyle w:val="Heading1"/>
      </w:pPr>
      <w:r>
        <w:t>2. Conto Economico Abbreviato (Q1 2026 vs Q1 2025)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Voce di Conto Economico (in Euro)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Q1 2026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Q1 2025</w:t>
            </w:r>
          </w:p>
        </w:tc>
      </w:tr>
      <w:tr>
        <w:tc>
          <w:tcPr>
            <w:tcW w:type="dxa" w:w="3120"/>
          </w:tcPr>
          <w:p>
            <w:r>
              <w:t>Ricavi delle Vendite e Prestazioni</w:t>
            </w:r>
          </w:p>
        </w:tc>
        <w:tc>
          <w:tcPr>
            <w:tcW w:type="dxa" w:w="3120"/>
          </w:tcPr>
          <w:p>
            <w:r>
              <w:t>4.850.000</w:t>
            </w:r>
          </w:p>
        </w:tc>
        <w:tc>
          <w:tcPr>
            <w:tcW w:type="dxa" w:w="3120"/>
          </w:tcPr>
          <w:p>
            <w:r>
              <w:t>4.600.000</w:t>
            </w:r>
          </w:p>
        </w:tc>
      </w:tr>
      <w:tr>
        <w:tc>
          <w:tcPr>
            <w:tcW w:type="dxa" w:w="3120"/>
          </w:tcPr>
          <w:p>
            <w:r>
              <w:t>Incrementi di immobilizzazioni per lavori interni (R&amp;D capitalizzati)</w:t>
            </w:r>
          </w:p>
        </w:tc>
        <w:tc>
          <w:tcPr>
            <w:tcW w:type="dxa" w:w="3120"/>
          </w:tcPr>
          <w:p>
            <w:r>
              <w:t>680.000</w:t>
            </w:r>
          </w:p>
        </w:tc>
        <w:tc>
          <w:tcPr>
            <w:tcW w:type="dxa" w:w="3120"/>
          </w:tcPr>
          <w:p>
            <w:r>
              <w:t>90.000</w:t>
            </w:r>
          </w:p>
        </w:tc>
      </w:tr>
      <w:tr>
        <w:tc>
          <w:tcPr>
            <w:tcW w:type="dxa" w:w="3120"/>
          </w:tcPr>
          <w:p>
            <w:r>
              <w:t>Altri Ricavi e Proventi</w:t>
            </w:r>
          </w:p>
        </w:tc>
        <w:tc>
          <w:tcPr>
            <w:tcW w:type="dxa" w:w="3120"/>
          </w:tcPr>
          <w:p>
            <w:r>
              <w:t>120.000</w:t>
            </w:r>
          </w:p>
        </w:tc>
        <w:tc>
          <w:tcPr>
            <w:tcW w:type="dxa" w:w="3120"/>
          </w:tcPr>
          <w:p>
            <w:r>
              <w:t>110.000</w:t>
            </w:r>
          </w:p>
        </w:tc>
      </w:tr>
      <w:tr>
        <w:tc>
          <w:tcPr>
            <w:tcW w:type="dxa" w:w="3120"/>
          </w:tcPr>
          <w:p>
            <w:r>
              <w:t>Valore della Produzione</w:t>
            </w:r>
          </w:p>
        </w:tc>
        <w:tc>
          <w:tcPr>
            <w:tcW w:type="dxa" w:w="3120"/>
          </w:tcPr>
          <w:p>
            <w:r>
              <w:t>5.650.000</w:t>
            </w:r>
          </w:p>
        </w:tc>
        <w:tc>
          <w:tcPr>
            <w:tcW w:type="dxa" w:w="3120"/>
          </w:tcPr>
          <w:p>
            <w:r>
              <w:t>4.800.000</w:t>
            </w:r>
          </w:p>
        </w:tc>
      </w:tr>
      <w:tr>
        <w:tc>
          <w:tcPr>
            <w:tcW w:type="dxa" w:w="3120"/>
          </w:tcPr>
          <w:p>
            <w:r>
              <w:t>Costi per Materie Prime e Consumi</w:t>
            </w:r>
          </w:p>
        </w:tc>
        <w:tc>
          <w:tcPr>
            <w:tcW w:type="dxa" w:w="3120"/>
          </w:tcPr>
          <w:p>
            <w:r>
              <w:t>-2.410.000</w:t>
            </w:r>
          </w:p>
        </w:tc>
        <w:tc>
          <w:tcPr>
            <w:tcW w:type="dxa" w:w="3120"/>
          </w:tcPr>
          <w:p>
            <w:r>
              <w:t>-2.150.000</w:t>
            </w:r>
          </w:p>
        </w:tc>
      </w:tr>
      <w:tr>
        <w:tc>
          <w:tcPr>
            <w:tcW w:type="dxa" w:w="3120"/>
          </w:tcPr>
          <w:p>
            <w:r>
              <w:t>Costi per Servizi e Godimento Beni di Terzi</w:t>
            </w:r>
          </w:p>
        </w:tc>
        <w:tc>
          <w:tcPr>
            <w:tcW w:type="dxa" w:w="3120"/>
          </w:tcPr>
          <w:p>
            <w:r>
              <w:t>-1.620.000</w:t>
            </w:r>
          </w:p>
        </w:tc>
        <w:tc>
          <w:tcPr>
            <w:tcW w:type="dxa" w:w="3120"/>
          </w:tcPr>
          <w:p>
            <w:r>
              <w:t>-1.380.000</w:t>
            </w:r>
          </w:p>
        </w:tc>
      </w:tr>
      <w:tr>
        <w:tc>
          <w:tcPr>
            <w:tcW w:type="dxa" w:w="3120"/>
          </w:tcPr>
          <w:p>
            <w:r>
              <w:t>Costi del Personale</w:t>
            </w:r>
          </w:p>
        </w:tc>
        <w:tc>
          <w:tcPr>
            <w:tcW w:type="dxa" w:w="3120"/>
          </w:tcPr>
          <w:p>
            <w:r>
              <w:t>-1.000.000</w:t>
            </w:r>
          </w:p>
        </w:tc>
        <w:tc>
          <w:tcPr>
            <w:tcW w:type="dxa" w:w="3120"/>
          </w:tcPr>
          <w:p>
            <w:r>
              <w:t>-950.000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EBITDA (Margine Operativo Lordo)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620.000</w:t>
            </w:r>
          </w:p>
        </w:tc>
        <w:tc>
          <w:tcPr>
            <w:tcW w:type="dxa" w:w="3120"/>
          </w:tcPr>
          <w:p>
            <w:r>
              <w:rPr>
                <w:b/>
              </w:rPr>
              <w:t>320.000</w:t>
            </w:r>
          </w:p>
        </w:tc>
      </w:tr>
      <w:tr>
        <w:tc>
          <w:tcPr>
            <w:tcW w:type="dxa" w:w="3120"/>
          </w:tcPr>
          <w:p>
            <w:r>
              <w:t>Ammortamenti e Svalutazioni</w:t>
            </w:r>
          </w:p>
        </w:tc>
        <w:tc>
          <w:tcPr>
            <w:tcW w:type="dxa" w:w="3120"/>
          </w:tcPr>
          <w:p>
            <w:r>
              <w:t>-410.000</w:t>
            </w:r>
          </w:p>
        </w:tc>
        <w:tc>
          <w:tcPr>
            <w:tcW w:type="dxa" w:w="3120"/>
          </w:tcPr>
          <w:p>
            <w:r>
              <w:t>-180.000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EBIT (Risultato Operativo)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210.000</w:t>
            </w:r>
          </w:p>
        </w:tc>
        <w:tc>
          <w:tcPr>
            <w:tcW w:type="dxa" w:w="3120"/>
          </w:tcPr>
          <w:p>
            <w:r>
              <w:rPr>
                <w:b/>
              </w:rPr>
              <w:t>140.000</w:t>
            </w:r>
          </w:p>
        </w:tc>
      </w:tr>
      <w:tr>
        <w:tc>
          <w:tcPr>
            <w:tcW w:type="dxa" w:w="3120"/>
          </w:tcPr>
          <w:p>
            <w:r>
              <w:t>Proventi e Oneri Finanziari</w:t>
            </w:r>
          </w:p>
        </w:tc>
        <w:tc>
          <w:tcPr>
            <w:tcW w:type="dxa" w:w="3120"/>
          </w:tcPr>
          <w:p>
            <w:r>
              <w:t>-95.000</w:t>
            </w:r>
          </w:p>
        </w:tc>
        <w:tc>
          <w:tcPr>
            <w:tcW w:type="dxa" w:w="3120"/>
          </w:tcPr>
          <w:p>
            <w:r>
              <w:t>-45.000</w:t>
            </w:r>
          </w:p>
        </w:tc>
      </w:tr>
      <w:tr>
        <w:tc>
          <w:tcPr>
            <w:tcW w:type="dxa" w:w="3120"/>
          </w:tcPr>
          <w:p>
            <w:r>
              <w:t>Risultato Prima delle Imposte (EBT)</w:t>
            </w:r>
          </w:p>
        </w:tc>
        <w:tc>
          <w:tcPr>
            <w:tcW w:type="dxa" w:w="3120"/>
          </w:tcPr>
          <w:p>
            <w:r>
              <w:t>115.000</w:t>
            </w:r>
          </w:p>
        </w:tc>
        <w:tc>
          <w:tcPr>
            <w:tcW w:type="dxa" w:w="3120"/>
          </w:tcPr>
          <w:p>
            <w:r>
              <w:t>95.000</w:t>
            </w:r>
          </w:p>
        </w:tc>
      </w:tr>
      <w:tr>
        <w:tc>
          <w:tcPr>
            <w:tcW w:type="dxa" w:w="3120"/>
          </w:tcPr>
          <w:p>
            <w:r>
              <w:t>Imposte sul Reddito (stima)</w:t>
            </w:r>
          </w:p>
        </w:tc>
        <w:tc>
          <w:tcPr>
            <w:tcW w:type="dxa" w:w="3120"/>
          </w:tcPr>
          <w:p>
            <w:r>
              <w:t>-30.000</w:t>
            </w:r>
          </w:p>
        </w:tc>
        <w:tc>
          <w:tcPr>
            <w:tcW w:type="dxa" w:w="3120"/>
          </w:tcPr>
          <w:p>
            <w:r>
              <w:t>-25.000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UTILE NETTO DEL TRIMESTRE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85.000</w:t>
            </w:r>
          </w:p>
        </w:tc>
        <w:tc>
          <w:tcPr>
            <w:tcW w:type="dxa" w:w="3120"/>
          </w:tcPr>
          <w:p>
            <w:r>
              <w:rPr>
                <w:b/>
              </w:rPr>
              <w:t>70.000</w:t>
            </w:r>
          </w:p>
        </w:tc>
      </w:tr>
    </w:tbl>
    <w:p/>
    <w:p>
      <w:pPr>
        <w:pStyle w:val="Heading1"/>
      </w:pPr>
      <w:r>
        <w:t>3. Stato Patrimoniale Abbreviato (al 31/03/2026 vs 31/12/2025)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Voce di Stato Patrimoniale (in Euro)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31/03/2026 (Q1)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31/12/2025 (FY)</w:t>
            </w:r>
          </w:p>
        </w:tc>
      </w:tr>
      <w:tr>
        <w:tc>
          <w:tcPr>
            <w:tcW w:type="dxa" w:w="3120"/>
          </w:tcPr>
          <w:p>
            <w:r>
              <w:t>Immobilizzazioni Immateriali (inc. R&amp;D)</w:t>
            </w:r>
          </w:p>
        </w:tc>
        <w:tc>
          <w:tcPr>
            <w:tcW w:type="dxa" w:w="3120"/>
          </w:tcPr>
          <w:p>
            <w:r>
              <w:t>5.180.000</w:t>
            </w:r>
          </w:p>
        </w:tc>
        <w:tc>
          <w:tcPr>
            <w:tcW w:type="dxa" w:w="3120"/>
          </w:tcPr>
          <w:p>
            <w:r>
              <w:t>4.650.000</w:t>
            </w:r>
          </w:p>
        </w:tc>
      </w:tr>
      <w:tr>
        <w:tc>
          <w:tcPr>
            <w:tcW w:type="dxa" w:w="3120"/>
          </w:tcPr>
          <w:p>
            <w:r>
              <w:t>Immobilizzazioni Materiali e Finanziarie</w:t>
            </w:r>
          </w:p>
        </w:tc>
        <w:tc>
          <w:tcPr>
            <w:tcW w:type="dxa" w:w="3120"/>
          </w:tcPr>
          <w:p>
            <w:r>
              <w:t>6.100.000</w:t>
            </w:r>
          </w:p>
        </w:tc>
        <w:tc>
          <w:tcPr>
            <w:tcW w:type="dxa" w:w="3120"/>
          </w:tcPr>
          <w:p>
            <w:r>
              <w:t>6.220.000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TOTALE IMMOBILIZZAZIONI</w:t>
            </w:r>
          </w:p>
        </w:tc>
        <w:tc>
          <w:tcPr>
            <w:tcW w:type="dxa" w:w="3120"/>
          </w:tcPr>
          <w:p>
            <w:r>
              <w:rPr>
                <w:b/>
              </w:rPr>
              <w:t>11.280.000</w:t>
            </w:r>
          </w:p>
        </w:tc>
        <w:tc>
          <w:tcPr>
            <w:tcW w:type="dxa" w:w="3120"/>
          </w:tcPr>
          <w:p>
            <w:r>
              <w:rPr>
                <w:b/>
              </w:rPr>
              <w:t>10.870.000</w:t>
            </w:r>
          </w:p>
        </w:tc>
      </w:tr>
      <w:tr>
        <w:tc>
          <w:tcPr>
            <w:tcW w:type="dxa" w:w="3120"/>
          </w:tcPr>
          <w:p>
            <w:r>
              <w:t>Rimanenze di Magazzino</w:t>
            </w:r>
          </w:p>
        </w:tc>
        <w:tc>
          <w:tcPr>
            <w:tcW w:type="dxa" w:w="3120"/>
          </w:tcPr>
          <w:p>
            <w:r>
              <w:t>4.920.000</w:t>
            </w:r>
          </w:p>
        </w:tc>
        <w:tc>
          <w:tcPr>
            <w:tcW w:type="dxa" w:w="3120"/>
          </w:tcPr>
          <w:p>
            <w:r>
              <w:t>4.650.000</w:t>
            </w:r>
          </w:p>
        </w:tc>
      </w:tr>
      <w:tr>
        <w:tc>
          <w:tcPr>
            <w:tcW w:type="dxa" w:w="3120"/>
          </w:tcPr>
          <w:p>
            <w:r>
              <w:t>Crediti Commerciali verso Clienti</w:t>
            </w:r>
          </w:p>
        </w:tc>
        <w:tc>
          <w:tcPr>
            <w:tcW w:type="dxa" w:w="3120"/>
          </w:tcPr>
          <w:p>
            <w:r>
              <w:t>7.450.000</w:t>
            </w:r>
          </w:p>
        </w:tc>
        <w:tc>
          <w:tcPr>
            <w:tcW w:type="dxa" w:w="3120"/>
          </w:tcPr>
          <w:p>
            <w:r>
              <w:t>6.120.000</w:t>
            </w:r>
          </w:p>
        </w:tc>
      </w:tr>
      <w:tr>
        <w:tc>
          <w:tcPr>
            <w:tcW w:type="dxa" w:w="3120"/>
          </w:tcPr>
          <w:p>
            <w:r>
              <w:t>Cassa e Disponibilità Liquide</w:t>
            </w:r>
          </w:p>
        </w:tc>
        <w:tc>
          <w:tcPr>
            <w:tcW w:type="dxa" w:w="3120"/>
          </w:tcPr>
          <w:p>
            <w:r>
              <w:t>310.000</w:t>
            </w:r>
          </w:p>
        </w:tc>
        <w:tc>
          <w:tcPr>
            <w:tcW w:type="dxa" w:w="3120"/>
          </w:tcPr>
          <w:p>
            <w:r>
              <w:t>580.000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TOTALE ATTIVO CIRCOLANTE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12.680.000</w:t>
            </w:r>
          </w:p>
        </w:tc>
        <w:tc>
          <w:tcPr>
            <w:tcW w:type="dxa" w:w="3120"/>
          </w:tcPr>
          <w:p>
            <w:r>
              <w:rPr>
                <w:b/>
              </w:rPr>
              <w:t>11.350.000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TOTALE ATTIVO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23.960.000</w:t>
            </w:r>
          </w:p>
        </w:tc>
        <w:tc>
          <w:tcPr>
            <w:tcW w:type="dxa" w:w="3120"/>
          </w:tcPr>
          <w:p>
            <w:r>
              <w:rPr>
                <w:b/>
              </w:rPr>
              <w:t>22.220.000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Patrimonio Netto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8.105.000</w:t>
            </w:r>
          </w:p>
        </w:tc>
        <w:tc>
          <w:tcPr>
            <w:tcW w:type="dxa" w:w="3120"/>
          </w:tcPr>
          <w:p>
            <w:r>
              <w:rPr>
                <w:b/>
              </w:rPr>
              <w:t>8.020.000</w:t>
            </w:r>
          </w:p>
        </w:tc>
      </w:tr>
      <w:tr>
        <w:tc>
          <w:tcPr>
            <w:tcW w:type="dxa" w:w="3120"/>
          </w:tcPr>
          <w:p>
            <w:r>
              <w:t>Debiti Finanziari a Medio/Lungo Termine</w:t>
            </w:r>
          </w:p>
        </w:tc>
        <w:tc>
          <w:tcPr>
            <w:tcW w:type="dxa" w:w="3120"/>
          </w:tcPr>
          <w:p>
            <w:r>
              <w:t>4.500.000</w:t>
            </w:r>
          </w:p>
        </w:tc>
        <w:tc>
          <w:tcPr>
            <w:tcW w:type="dxa" w:w="3120"/>
          </w:tcPr>
          <w:p>
            <w:r>
              <w:t>4.600.000</w:t>
            </w:r>
          </w:p>
        </w:tc>
      </w:tr>
      <w:tr>
        <w:tc>
          <w:tcPr>
            <w:tcW w:type="dxa" w:w="3120"/>
          </w:tcPr>
          <w:p>
            <w:r>
              <w:t>Debiti Bancari a Breve Termine (Linee di credito)</w:t>
            </w:r>
          </w:p>
        </w:tc>
        <w:tc>
          <w:tcPr>
            <w:tcW w:type="dxa" w:w="3120"/>
          </w:tcPr>
          <w:p>
            <w:r>
              <w:t>3.850.000</w:t>
            </w:r>
          </w:p>
        </w:tc>
        <w:tc>
          <w:tcPr>
            <w:tcW w:type="dxa" w:w="3120"/>
          </w:tcPr>
          <w:p>
            <w:r>
              <w:t>2.800.000</w:t>
            </w:r>
          </w:p>
        </w:tc>
      </w:tr>
      <w:tr>
        <w:tc>
          <w:tcPr>
            <w:tcW w:type="dxa" w:w="3120"/>
          </w:tcPr>
          <w:p>
            <w:r>
              <w:t>Debiti Commerciali verso Fornitori</w:t>
            </w:r>
          </w:p>
        </w:tc>
        <w:tc>
          <w:tcPr>
            <w:tcW w:type="dxa" w:w="3120"/>
          </w:tcPr>
          <w:p>
            <w:r>
              <w:t>5.300.000</w:t>
            </w:r>
          </w:p>
        </w:tc>
        <w:tc>
          <w:tcPr>
            <w:tcW w:type="dxa" w:w="3120"/>
          </w:tcPr>
          <w:p>
            <w:r>
              <w:t>4.750.000</w:t>
            </w:r>
          </w:p>
        </w:tc>
      </w:tr>
      <w:tr>
        <w:tc>
          <w:tcPr>
            <w:tcW w:type="dxa" w:w="3120"/>
          </w:tcPr>
          <w:p>
            <w:r>
              <w:t>Altri Debiti e Fondi</w:t>
            </w:r>
          </w:p>
        </w:tc>
        <w:tc>
          <w:tcPr>
            <w:tcW w:type="dxa" w:w="3120"/>
          </w:tcPr>
          <w:p>
            <w:r>
              <w:t>2.205.000</w:t>
            </w:r>
          </w:p>
        </w:tc>
        <w:tc>
          <w:tcPr>
            <w:tcW w:type="dxa" w:w="3120"/>
          </w:tcPr>
          <w:p>
            <w:r>
              <w:t>2.050.000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TOTALE PASSIVO E PATRIMONIO NETTO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23.960.000</w:t>
            </w:r>
          </w:p>
        </w:tc>
        <w:tc>
          <w:tcPr>
            <w:tcW w:type="dxa" w:w="3120"/>
          </w:tcPr>
          <w:p>
            <w:r>
              <w:rPr>
                <w:b/>
              </w:rPr>
              <w:t>22.220.000</w:t>
            </w:r>
          </w:p>
        </w:tc>
      </w:tr>
    </w:tbl>
    <w:p/>
    <w:p>
      <w:pPr>
        <w:pStyle w:val="Heading1"/>
      </w:pPr>
      <w:r>
        <w:t>4. Note ed Evidenze di Tensione Finanziaria</w:t>
      </w:r>
    </w:p>
    <w:p>
      <w:r>
        <w:t>Si evidenzia come il flusso finanziario operativo del trimestre rimanga nettamente negativo (Cash Flow Operativo pari a Euro -540.000). La principale causa risiede nella crescita della voce Crediti Commerciali (+1.330.000 Euro in soli 3 mesi), originata da dilationi di pagamento più generose concesse ai clienti e da un rallentamento nei rientri. Inoltre, la capitalizzazione dei costi di sviluppo interni per Euro 680.000 ha sostenuto il risultato economico dell'EBITDA e dell'Utile Netto, a fronte dei quali non vi sono tuttavia corrispondenti incassi monetari.</w:t>
      </w:r>
    </w:p>
    <w:p>
      <w:r>
        <w:t>Per far fronte all'assorbimento di cassa, la società ha fatto ulteriore ricorso all'utilizzo di affidamenti bancari a breve termine, portando i debiti bancari a breve a Euro 3.850.000 (rispetto ad Euro 2.800.000 al 31/12/2025), prosciugando quasi interamente la cassa disponibile (ridotta a Euro 310.000).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