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left"/>
      </w:pPr>
      <w:r>
        <w:rPr>
          <w:rFonts w:ascii="Times New Roman" w:hAnsi="Times New Roman"/>
          <w:b/>
          <w:i w:val="0"/>
          <w:sz w:val="32"/>
        </w:rPr>
        <w:t>Robust Probabilistic Electricity Load Forecasting using DeepAR Architecture and TensorFlow Probability</w:t>
      </w:r>
    </w:p>
    <w:p>
      <w:pPr>
        <w:spacing w:before="0" w:after="60" w:line="240" w:lineRule="auto"/>
        <w:jc w:val="left"/>
      </w:pPr>
      <w:r>
        <w:rPr>
          <w:rFonts w:ascii="Times New Roman" w:hAnsi="Times New Roman"/>
          <w:b w:val="0"/>
          <w:i w:val="0"/>
          <w:sz w:val="20"/>
        </w:rPr>
        <w:t>Mohammed Ezzaldeen Babiker Abdallah</w:t>
      </w:r>
    </w:p>
    <w:p>
      <w:pPr>
        <w:spacing w:before="0" w:after="280" w:line="240" w:lineRule="auto"/>
        <w:jc w:val="left"/>
      </w:pPr>
      <w:r>
        <w:rPr>
          <w:rFonts w:ascii="Times New Roman" w:hAnsi="Times New Roman"/>
          <w:b w:val="0"/>
          <w:i w:val="0"/>
          <w:sz w:val="20"/>
        </w:rPr>
        <w:t>Department of Electrical Engineering, Power Systems Division</w:t>
      </w:r>
    </w:p>
    <w:p>
      <w:pPr>
        <w:spacing w:before="280" w:after="188" w:line="240" w:lineRule="auto"/>
        <w:jc w:val="left"/>
      </w:pPr>
      <w:r>
        <w:rPr>
          <w:rFonts w:ascii="Times New Roman" w:hAnsi="Times New Roman"/>
          <w:b w:val="0"/>
          <w:i w:val="0"/>
          <w:sz w:val="24"/>
        </w:rPr>
        <w:t>Abstract</w:t>
      </w:r>
    </w:p>
    <w:p>
      <w:pPr>
        <w:spacing w:before="0" w:after="188" w:line="240" w:lineRule="auto"/>
        <w:jc w:val="both"/>
      </w:pPr>
      <w:r>
        <w:rPr>
          <w:rFonts w:ascii="Times New Roman" w:hAnsi="Times New Roman"/>
          <w:b w:val="0"/>
          <w:i w:val="0"/>
          <w:sz w:val="20"/>
        </w:rPr>
        <w:t>The variability of modern electricity demand, driven by the integration of renewable energy sources and dynamic consumer behaviors, poses significant challenges for power grid stability. Traditional point-forecasting models fail to quantify the inherent uncertainty in load trajectories, leading to suboptimal resource allocation and increased risks of blackout events. This research proposes a highly robust probabilistic forecasting framework utilizing the DeepAR (Autoregressive Recurrent Networks) architecture combined with TensorFlow Probability. By mapping historical sequential data (168-hour windows) and deterministic future covariates (hour, day of the week, month) into a unified latent space via Long Short-Term Memory (LSTM) cells, the model parameterizes an independent Gaussian distribution for each future time step across a 24-hour horizon. The methodology ensures strict chronological data separation to prevent leakage. Performance evaluations on the AEP hourly consumption dataset reveal the superiority of the probabilistic approach, achieving precise median expectations (P50) alongside reliable 90% confidence matrices (P10 to P90). The framework's efficacy is rigorously quantified using Negative Log-Likelihood and Custom Quantile Losses, providing grid operators with mathematically bounded uncertainty estimations critical for safe industrial operations.</w:t>
      </w:r>
    </w:p>
    <w:p/>
    <w:p>
      <w:pPr>
        <w:spacing w:before="0" w:after="280" w:line="240" w:lineRule="auto"/>
        <w:jc w:val="left"/>
      </w:pPr>
      <w:r>
        <w:rPr>
          <w:rFonts w:ascii="Times New Roman" w:hAnsi="Times New Roman"/>
          <w:b/>
          <w:i w:val="0"/>
          <w:sz w:val="20"/>
        </w:rPr>
        <w:t xml:space="preserve">Keywords:  </w:t>
      </w:r>
      <w:r>
        <w:rPr>
          <w:rFonts w:ascii="Times New Roman" w:hAnsi="Times New Roman"/>
          <w:b w:val="0"/>
          <w:i w:val="0"/>
          <w:sz w:val="20"/>
        </w:rPr>
        <w:t>Probabilistic Forecasting, DeepAR, TensorFlow Probability, Smart Grids, Time Series, Deep Learning.</w:t>
      </w:r>
    </w:p>
    <w:p>
      <w:pPr>
        <w:spacing w:before="280" w:after="188" w:line="240" w:lineRule="auto"/>
        <w:jc w:val="left"/>
      </w:pPr>
      <w:r>
        <w:rPr>
          <w:rFonts w:ascii="Times New Roman" w:hAnsi="Times New Roman"/>
          <w:b w:val="0"/>
          <w:i w:val="0"/>
          <w:sz w:val="24"/>
        </w:rPr>
        <w:t>1. Introduction</w:t>
      </w:r>
    </w:p>
    <w:p>
      <w:pPr>
        <w:spacing w:before="0" w:after="188" w:line="240" w:lineRule="auto"/>
        <w:jc w:val="both"/>
      </w:pPr>
      <w:r>
        <w:rPr>
          <w:rFonts w:ascii="Times New Roman" w:hAnsi="Times New Roman"/>
          <w:b w:val="0"/>
          <w:i w:val="0"/>
          <w:sz w:val="20"/>
        </w:rPr>
        <w:t>Accurate electricity load forecasting is the cornerstone of efficient power grid operations, encompassing generation scheduling, economic dispatch, and energy market trading. As power systems transition towards smart grids, the stochastic nature of electricity consumption has intensified significantly, driven by the integration of renewable energy sources and dynamic consumer behaviors (Bessa et al., 2015; Kaur et al., 2022). These substantial fluctuations in electricity demand pose major challenges to power grid stability, where traditional point-forecasting models, such as standard Artificial Neural Networks (ANNs) and Support Vector Machines (SVM), fail to quantify the inherent uncertainty in load trajectories. This deficiency leads to suboptimal resource allocation and increases the risks of blackout events (Guo et al., 2018; Hyndman &amp; Athanasopoulos, 2018).</w:t>
      </w:r>
    </w:p>
    <w:p>
      <w:pPr>
        <w:spacing w:before="0" w:after="188" w:line="240" w:lineRule="auto"/>
        <w:jc w:val="both"/>
      </w:pPr>
      <w:r>
        <w:rPr>
          <w:rFonts w:ascii="Times New Roman" w:hAnsi="Times New Roman"/>
          <w:b w:val="0"/>
          <w:i w:val="0"/>
          <w:sz w:val="20"/>
        </w:rPr>
        <w:t>To address these challenges, recent advancements in deep learning have emerged as a promising solution for probabilistic time-series modeling. The DeepAR (Autoregressive Recurrent Networks) algorithm represents a paradigm shift, as it enables Recurrent Neural Networks (RNNs) to learn global patterns across multiple time series while outputting parametric probability distributions rather than deterministic forecast points (Salinas et al., 2020).</w:t>
      </w:r>
    </w:p>
    <w:p>
      <w:pPr>
        <w:spacing w:before="0" w:after="188" w:line="240" w:lineRule="auto"/>
        <w:jc w:val="both"/>
      </w:pPr>
      <w:r>
        <w:rPr>
          <w:rFonts w:ascii="Times New Roman" w:hAnsi="Times New Roman"/>
          <w:b w:val="0"/>
          <w:i w:val="0"/>
          <w:sz w:val="20"/>
        </w:rPr>
        <w:t>This paper proposes a robust framework for probabilistic forecasting utilizing the DeepAR architecture in conjunction with the TensorFlow Probability library. The model maps historical sequential data (168-hour windows) and deterministic future covariates (hour, day of the week, month) into a unified latent space via Long Short-Term Memory (LSTM) cells. This approach parameterizes an independent Gaussian distribution for each future time step across a 24-hour horizon, while ensuring strict chronological separation of data to prevent information leakage (Hochreiter &amp; Schmidhuber, 1997; Dillon et al., 2017).</w:t>
      </w:r>
    </w:p>
    <w:p>
      <w:pPr>
        <w:spacing w:before="0" w:after="188" w:line="240" w:lineRule="auto"/>
        <w:jc w:val="both"/>
      </w:pPr>
      <w:r>
        <w:rPr>
          <w:rFonts w:ascii="Times New Roman" w:hAnsi="Times New Roman"/>
          <w:b w:val="0"/>
          <w:i w:val="0"/>
          <w:sz w:val="20"/>
        </w:rPr>
        <w:t>The main contributions of this research paper are:</w:t>
      </w:r>
    </w:p>
    <w:p>
      <w:pPr>
        <w:spacing w:before="0" w:after="188" w:line="240" w:lineRule="auto"/>
        <w:jc w:val="both"/>
      </w:pPr>
      <w:r>
        <w:rPr>
          <w:rFonts w:ascii="Times New Roman" w:hAnsi="Times New Roman"/>
          <w:b w:val="0"/>
          <w:i w:val="0"/>
          <w:sz w:val="20"/>
        </w:rPr>
        <w:t>• Development of a Robust Probabilistic Forecasting Framework: Introducing a custom DeepAR model implemented in TensorFlow 2.x, integrating TensorFlow Probability (TFP) layers to overcome the limitations of classical Keras symbolic tensors, thereby providing mathematically bounded uncertainty estimations (Dillon et al., 2017; Iruela et al., 2021).</w:t>
      </w:r>
    </w:p>
    <w:p>
      <w:pPr>
        <w:spacing w:before="0" w:after="188" w:line="240" w:lineRule="auto"/>
        <w:jc w:val="both"/>
      </w:pPr>
      <w:r>
        <w:rPr>
          <w:rFonts w:ascii="Times New Roman" w:hAnsi="Times New Roman"/>
          <w:b w:val="0"/>
          <w:i w:val="0"/>
          <w:sz w:val="20"/>
        </w:rPr>
        <w:t>• Addressing the Inherent Uncertainty in Electricity Loads: Unlike deterministic models that provide single point estimates, this framework delivers comprehensive probability distributions, including median expectations (P50) and reliable 90% confidence matrices (P10 to P90), which are crucial for secure grid operations (Mohammadi &amp; Ahmad, 2025; Ruiz-Abellón &amp; Sánchez-Úbeda, 2024).</w:t>
      </w:r>
    </w:p>
    <w:p>
      <w:pPr>
        <w:spacing w:before="0" w:after="188" w:line="240" w:lineRule="auto"/>
        <w:jc w:val="both"/>
      </w:pPr>
      <w:r>
        <w:rPr>
          <w:rFonts w:ascii="Times New Roman" w:hAnsi="Times New Roman"/>
          <w:b w:val="0"/>
          <w:i w:val="0"/>
          <w:sz w:val="20"/>
        </w:rPr>
        <w:t>• Model Validation Using Real-World Data: The model's performance is rigorously evaluated on the AEP hourly consumption dataset, demonstrating the superiority of the probabilistic approach in achieving accurate median forecasts and reliable confidence bounds (Guo et al., 2018).</w:t>
      </w:r>
    </w:p>
    <w:p>
      <w:pPr>
        <w:spacing w:before="0" w:after="188" w:line="240" w:lineRule="auto"/>
        <w:jc w:val="both"/>
      </w:pPr>
      <w:r>
        <w:rPr>
          <w:rFonts w:ascii="Times New Roman" w:hAnsi="Times New Roman"/>
          <w:b w:val="0"/>
          <w:i w:val="0"/>
          <w:sz w:val="20"/>
        </w:rPr>
        <w:t>• Rigorous Quantitative Evaluation of Efficacy: The framework's effectiveness is precisely measured using Negative Log-Likelihood and Custom Quantile Losses, equipping grid operators with mathematically defined uncertainty estimations essential for safe industrial operations (Cai et al., 2023; Dürr et al., 2020).</w:t>
      </w:r>
    </w:p>
    <w:p>
      <w:pPr>
        <w:spacing w:before="0" w:after="188" w:line="240" w:lineRule="auto"/>
        <w:jc w:val="both"/>
      </w:pPr>
      <w:r>
        <w:rPr>
          <w:rFonts w:ascii="Times New Roman" w:hAnsi="Times New Roman"/>
          <w:b w:val="0"/>
          <w:i w:val="0"/>
          <w:sz w:val="20"/>
        </w:rPr>
        <w:t>• Flexible and Scalable Architectural Design: The model employs a robust architectural design utilizing an asymmetric sliding window (history H=168, horizon F=24) combined with multivariate temporal covariates to forecast active power (MW) requirements (Yang et al., 2019; Zhu &amp; Huang, 2021).</w:t>
      </w:r>
    </w:p>
    <w:p>
      <w:pPr>
        <w:spacing w:before="0" w:after="188" w:line="240" w:lineRule="auto"/>
        <w:jc w:val="both"/>
      </w:pPr>
      <w:r>
        <w:rPr>
          <w:rFonts w:ascii="Times New Roman" w:hAnsi="Times New Roman"/>
          <w:b w:val="0"/>
          <w:i w:val="0"/>
          <w:sz w:val="20"/>
        </w:rPr>
        <w:t>These contributions emphasize the imperative shift towards probabilistic forecasting in smart grid management and provide a practical tool for grid operators to make informed decisions in an increasingly volatile environment.</w:t>
      </w:r>
    </w:p>
    <w:p>
      <w:pPr>
        <w:spacing w:before="280" w:after="188" w:line="240" w:lineRule="auto"/>
        <w:jc w:val="left"/>
      </w:pPr>
      <w:r>
        <w:rPr>
          <w:rFonts w:ascii="Times New Roman" w:hAnsi="Times New Roman"/>
          <w:b w:val="0"/>
          <w:i w:val="0"/>
          <w:sz w:val="24"/>
        </w:rPr>
        <w:t>2. Literature Review</w:t>
      </w:r>
    </w:p>
    <w:p>
      <w:pPr>
        <w:spacing w:before="0" w:after="188" w:line="240" w:lineRule="auto"/>
        <w:jc w:val="both"/>
      </w:pPr>
      <w:r>
        <w:rPr>
          <w:rFonts w:ascii="Times New Roman" w:hAnsi="Times New Roman"/>
          <w:b w:val="0"/>
          <w:i w:val="0"/>
          <w:sz w:val="20"/>
        </w:rPr>
        <w:t>The shift from deterministic to probabilistic forecasting in energy systems has been extensively documented in recent literature. Traditional time-series models like Autoregressive Integrated Moving Average (ARIMA) laid the foundational theory but struggled with capturing non-linear stochastic dependencies (Hyndman &amp; Athanasopoulos, 2018). The introduction of Long Short-Term Memory (LSTM) networks provided significant improvements in modeling long-term temporal dependencies (Hochreiter &amp; Schmidhuber, 1997).</w:t>
      </w:r>
    </w:p>
    <w:p>
      <w:pPr>
        <w:spacing w:before="0" w:after="188" w:line="240" w:lineRule="auto"/>
        <w:jc w:val="both"/>
      </w:pPr>
      <w:r>
        <w:rPr>
          <w:rFonts w:ascii="Times New Roman" w:hAnsi="Times New Roman"/>
          <w:b w:val="0"/>
          <w:i w:val="0"/>
          <w:sz w:val="20"/>
        </w:rPr>
        <w:t>Building upon LSTMs, Salinas et al. (2020) proposed the DeepAR model, demonstrating exceptional scalability and accuracy for probabilistic forecasting by learning global parameters across multiple time series. Subsequent research by Bessa et al. (2015) emphasized the necessity of uncertainty quantification in power system operations to mitigate the inherent risks of renewable energy integration. More recently, the integration of TensorFlow Probability has allowed for elegant implementations of Bayesian neural networks and custom statistical layers, bridging the gap between deep learning and rigorous statistical inference (Dillon et al., 2017). This paper extends these foundations by providing a generalized, highly stabilized implementation using Keras 3 legacy compatibility and advanced quantile metric evaluations.</w:t>
      </w:r>
    </w:p>
    <w:p>
      <w:pPr>
        <w:spacing w:before="280" w:after="188" w:line="240" w:lineRule="auto"/>
        <w:jc w:val="left"/>
      </w:pPr>
      <w:r>
        <w:rPr>
          <w:rFonts w:ascii="Times New Roman" w:hAnsi="Times New Roman"/>
          <w:b w:val="0"/>
          <w:i w:val="0"/>
          <w:sz w:val="24"/>
        </w:rPr>
        <w:t>3. Methodology</w:t>
      </w:r>
    </w:p>
    <w:p>
      <w:pPr>
        <w:spacing w:before="160" w:after="188" w:line="240" w:lineRule="auto"/>
        <w:jc w:val="left"/>
      </w:pPr>
      <w:r>
        <w:rPr>
          <w:rFonts w:ascii="Times New Roman" w:hAnsi="Times New Roman"/>
          <w:b/>
          <w:i w:val="0"/>
          <w:sz w:val="20"/>
        </w:rPr>
        <w:t>3.1. Data Preprocessing and Feature Engineering</w:t>
      </w:r>
    </w:p>
    <w:p>
      <w:pPr>
        <w:spacing w:before="0" w:after="188" w:line="240" w:lineRule="auto"/>
        <w:jc w:val="both"/>
      </w:pPr>
      <w:r>
        <w:rPr>
          <w:rFonts w:ascii="Times New Roman" w:hAnsi="Times New Roman"/>
          <w:b w:val="0"/>
          <w:i w:val="0"/>
          <w:sz w:val="20"/>
        </w:rPr>
        <w:t>The integrity of the probabilistic forecast heavily relies on rigorous chronological preprocessing. The target variable is the continuous Active MegaWatt Requirement Load (AEP_MW), sampled at a strict 1-hour frequency. Missing chronological gaps are smoothly bridged via linear interpolation.</w:t>
      </w:r>
    </w:p>
    <w:p>
      <w:pPr>
        <w:spacing w:before="0" w:after="188" w:line="240" w:lineRule="auto"/>
        <w:jc w:val="both"/>
      </w:pPr>
      <w:r>
        <w:rPr>
          <w:rFonts w:ascii="Times New Roman" w:hAnsi="Times New Roman"/>
          <w:b w:val="0"/>
          <w:i w:val="0"/>
          <w:sz w:val="20"/>
        </w:rPr>
        <w:t>To assist the autoregressive decoder, deterministic temporal covariates are extracted from the Datetime index, specifically the Hour ([0, 23]), Day of the Week ([0, 6]), and Month ([1, 12]).</w:t>
      </w:r>
    </w:p>
    <w:p>
      <w:pPr>
        <w:jc w:val="center"/>
      </w:pPr>
      <w:r>
        <w:drawing>
          <wp:inline xmlns:a="http://schemas.openxmlformats.org/drawingml/2006/main" xmlns:pic="http://schemas.openxmlformats.org/drawingml/2006/picture">
            <wp:extent cx="5400000" cy="1582218"/>
            <wp:docPr id="1" name="Picture 1"/>
            <wp:cNvGraphicFramePr>
              <a:graphicFrameLocks noChangeAspect="1"/>
            </wp:cNvGraphicFramePr>
            <a:graphic>
              <a:graphicData uri="http://schemas.openxmlformats.org/drawingml/2006/picture">
                <pic:pic>
                  <pic:nvPicPr>
                    <pic:cNvPr id="0" name="Preprocess_Flow.png"/>
                    <pic:cNvPicPr/>
                  </pic:nvPicPr>
                  <pic:blipFill>
                    <a:blip r:embed="rId9"/>
                    <a:stretch>
                      <a:fillRect/>
                    </a:stretch>
                  </pic:blipFill>
                  <pic:spPr>
                    <a:xfrm>
                      <a:off x="0" y="0"/>
                      <a:ext cx="5400000" cy="1582218"/>
                    </a:xfrm>
                    <a:prstGeom prst="rect"/>
                  </pic:spPr>
                </pic:pic>
              </a:graphicData>
            </a:graphic>
          </wp:inline>
        </w:drawing>
      </w:r>
    </w:p>
    <w:p>
      <w:pPr>
        <w:spacing w:before="80" w:after="240" w:line="240" w:lineRule="auto"/>
        <w:jc w:val="center"/>
      </w:pPr>
      <w:r>
        <w:rPr>
          <w:rFonts w:ascii="Times New Roman" w:hAnsi="Times New Roman"/>
          <w:b/>
          <w:i w:val="0"/>
          <w:sz w:val="20"/>
        </w:rPr>
        <w:t xml:space="preserve">Figure 1.  </w:t>
      </w:r>
      <w:r>
        <w:rPr>
          <w:rFonts w:ascii="Times New Roman" w:hAnsi="Times New Roman"/>
          <w:b w:val="0"/>
          <w:i w:val="0"/>
          <w:sz w:val="20"/>
        </w:rPr>
        <w:t>Comprehensive data preprocessing pipeline encompassing imputation and temporal covariate extraction.</w:t>
      </w:r>
    </w:p>
    <w:p>
      <w:pPr>
        <w:spacing w:before="0" w:after="188" w:line="240" w:lineRule="auto"/>
        <w:jc w:val="both"/>
      </w:pPr>
      <w:r>
        <w:rPr>
          <w:rFonts w:ascii="Times New Roman" w:hAnsi="Times New Roman"/>
          <w:b w:val="0"/>
          <w:i w:val="0"/>
          <w:sz w:val="20"/>
        </w:rPr>
        <w:t>To strictly prevent future data leakage, the chronological integrity of the time series is perfectly maintained by defining a hard temporal split without any randomized shuffling before tensor windowing. A comprehensive list of the engineered features and their respective value transformations is provided in Table 1.</w:t>
      </w:r>
    </w:p>
    <w:p>
      <w:pPr>
        <w:spacing w:before="240" w:after="80" w:line="240" w:lineRule="auto"/>
        <w:jc w:val="left"/>
      </w:pPr>
      <w:r>
        <w:rPr>
          <w:rFonts w:ascii="Times New Roman" w:hAnsi="Times New Roman"/>
          <w:b/>
          <w:i w:val="0"/>
          <w:sz w:val="20"/>
        </w:rPr>
        <w:t>Table 1.  Extracted Features and Temporal Covariates</w:t>
      </w:r>
    </w:p>
    <w:tbl>
      <w:tblPr>
        <w:tblW w:type="auto" w:w="0"/>
        <w:jc w:val="center"/>
        <w:tblLook w:firstColumn="1" w:firstRow="1" w:lastColumn="0" w:lastRow="0" w:noHBand="0" w:noVBand="1" w:val="04A0"/>
      </w:tblPr>
      <w:tblGrid>
        <w:gridCol w:w="3230"/>
        <w:gridCol w:w="3230"/>
        <w:gridCol w:w="3230"/>
      </w:tblGrid>
      <w:tr>
        <w:tc>
          <w:tcPr>
            <w:tcW w:type="dxa" w:w="3230"/>
            <w:tcBorders>
              <w:top w:val="single" w:sz="4" w:space="0" w:color="000000"/>
              <w:bottom w:val="single" w:sz="4" w:space="0" w:color="000000"/>
            </w:tcBorders>
          </w:tcPr>
          <w:p>
            <w:pPr>
              <w:jc w:val="center"/>
            </w:pPr>
            <w:r>
              <w:rPr>
                <w:rFonts w:ascii="Times New Roman" w:hAnsi="Times New Roman"/>
                <w:b/>
                <w:i w:val="0"/>
                <w:sz w:val="20"/>
              </w:rPr>
              <w:t>Feature Type</w:t>
            </w:r>
          </w:p>
        </w:tc>
        <w:tc>
          <w:tcPr>
            <w:tcW w:type="dxa" w:w="3230"/>
            <w:tcBorders>
              <w:top w:val="single" w:sz="4" w:space="0" w:color="000000"/>
              <w:bottom w:val="single" w:sz="4" w:space="0" w:color="000000"/>
            </w:tcBorders>
          </w:tcPr>
          <w:p>
            <w:pPr>
              <w:jc w:val="center"/>
            </w:pPr>
            <w:r>
              <w:rPr>
                <w:rFonts w:ascii="Times New Roman" w:hAnsi="Times New Roman"/>
                <w:b/>
                <w:i w:val="0"/>
                <w:sz w:val="20"/>
              </w:rPr>
              <w:t>Variable Name</w:t>
            </w:r>
          </w:p>
        </w:tc>
        <w:tc>
          <w:tcPr>
            <w:tcW w:type="dxa" w:w="3230"/>
            <w:tcBorders>
              <w:top w:val="single" w:sz="4" w:space="0" w:color="000000"/>
              <w:bottom w:val="single" w:sz="4" w:space="0" w:color="000000"/>
            </w:tcBorders>
          </w:tcPr>
          <w:p>
            <w:pPr>
              <w:jc w:val="center"/>
            </w:pPr>
            <w:r>
              <w:rPr>
                <w:rFonts w:ascii="Times New Roman" w:hAnsi="Times New Roman"/>
                <w:b/>
                <w:i w:val="0"/>
                <w:sz w:val="20"/>
              </w:rPr>
              <w:t>Range / Transformation</w:t>
            </w:r>
          </w:p>
        </w:tc>
      </w:tr>
      <w:tr>
        <w:tc>
          <w:tcPr>
            <w:tcW w:type="dxa" w:w="3230"/>
            <w:tcBorders/>
          </w:tcPr>
          <w:p>
            <w:pPr>
              <w:jc w:val="center"/>
            </w:pPr>
            <w:r>
              <w:rPr>
                <w:rFonts w:ascii="Times New Roman" w:hAnsi="Times New Roman"/>
                <w:b w:val="0"/>
                <w:i w:val="0"/>
                <w:sz w:val="20"/>
              </w:rPr>
              <w:t>Target Output</w:t>
            </w:r>
          </w:p>
        </w:tc>
        <w:tc>
          <w:tcPr>
            <w:tcW w:type="dxa" w:w="3230"/>
            <w:tcBorders/>
          </w:tcPr>
          <w:p>
            <w:pPr>
              <w:jc w:val="center"/>
            </w:pPr>
            <w:r>
              <w:rPr>
                <w:rFonts w:ascii="Times New Roman" w:hAnsi="Times New Roman"/>
                <w:b w:val="0"/>
                <w:i w:val="0"/>
                <w:sz w:val="20"/>
              </w:rPr>
              <w:t>AEP_MW</w:t>
            </w:r>
          </w:p>
        </w:tc>
        <w:tc>
          <w:tcPr>
            <w:tcW w:type="dxa" w:w="3230"/>
            <w:tcBorders/>
          </w:tcPr>
          <w:p>
            <w:pPr>
              <w:jc w:val="center"/>
            </w:pPr>
            <w:r>
              <w:rPr>
                <w:rFonts w:ascii="Times New Roman" w:hAnsi="Times New Roman"/>
                <w:b w:val="0"/>
                <w:i w:val="0"/>
                <w:sz w:val="20"/>
              </w:rPr>
              <w:t>MinMax Scaled (Float32)</w:t>
            </w:r>
          </w:p>
        </w:tc>
      </w:tr>
      <w:tr>
        <w:tc>
          <w:tcPr>
            <w:tcW w:type="dxa" w:w="3230"/>
            <w:tcBorders/>
          </w:tcPr>
          <w:p>
            <w:pPr>
              <w:jc w:val="center"/>
            </w:pPr>
            <w:r>
              <w:rPr>
                <w:rFonts w:ascii="Times New Roman" w:hAnsi="Times New Roman"/>
                <w:b w:val="0"/>
                <w:i w:val="0"/>
                <w:sz w:val="20"/>
              </w:rPr>
              <w:t>Covariate</w:t>
            </w:r>
          </w:p>
        </w:tc>
        <w:tc>
          <w:tcPr>
            <w:tcW w:type="dxa" w:w="3230"/>
            <w:tcBorders/>
          </w:tcPr>
          <w:p>
            <w:pPr>
              <w:jc w:val="center"/>
            </w:pPr>
            <w:r>
              <w:rPr>
                <w:rFonts w:ascii="Times New Roman" w:hAnsi="Times New Roman"/>
                <w:b w:val="0"/>
                <w:i w:val="0"/>
                <w:sz w:val="20"/>
              </w:rPr>
              <w:t>Hour</w:t>
            </w:r>
          </w:p>
        </w:tc>
        <w:tc>
          <w:tcPr>
            <w:tcW w:type="dxa" w:w="3230"/>
            <w:tcBorders/>
          </w:tcPr>
          <w:p>
            <w:pPr>
              <w:jc w:val="center"/>
            </w:pPr>
            <w:r>
              <w:rPr>
                <w:rFonts w:ascii="Times New Roman" w:hAnsi="Times New Roman"/>
                <w:b w:val="0"/>
                <w:i w:val="0"/>
                <w:sz w:val="20"/>
              </w:rPr>
              <w:t>[0, 23] → [0, 1]</w:t>
            </w:r>
          </w:p>
        </w:tc>
      </w:tr>
      <w:tr>
        <w:tc>
          <w:tcPr>
            <w:tcW w:type="dxa" w:w="3230"/>
            <w:tcBorders/>
          </w:tcPr>
          <w:p>
            <w:pPr>
              <w:jc w:val="center"/>
            </w:pPr>
            <w:r>
              <w:rPr>
                <w:rFonts w:ascii="Times New Roman" w:hAnsi="Times New Roman"/>
                <w:b w:val="0"/>
                <w:i w:val="0"/>
                <w:sz w:val="20"/>
              </w:rPr>
              <w:t>Covariate</w:t>
            </w:r>
          </w:p>
        </w:tc>
        <w:tc>
          <w:tcPr>
            <w:tcW w:type="dxa" w:w="3230"/>
            <w:tcBorders/>
          </w:tcPr>
          <w:p>
            <w:pPr>
              <w:jc w:val="center"/>
            </w:pPr>
            <w:r>
              <w:rPr>
                <w:rFonts w:ascii="Times New Roman" w:hAnsi="Times New Roman"/>
                <w:b w:val="0"/>
                <w:i w:val="0"/>
                <w:sz w:val="20"/>
              </w:rPr>
              <w:t>Day_of_Week</w:t>
            </w:r>
          </w:p>
        </w:tc>
        <w:tc>
          <w:tcPr>
            <w:tcW w:type="dxa" w:w="3230"/>
            <w:tcBorders/>
          </w:tcPr>
          <w:p>
            <w:pPr>
              <w:jc w:val="center"/>
            </w:pPr>
            <w:r>
              <w:rPr>
                <w:rFonts w:ascii="Times New Roman" w:hAnsi="Times New Roman"/>
                <w:b w:val="0"/>
                <w:i w:val="0"/>
                <w:sz w:val="20"/>
              </w:rPr>
              <w:t>[0, 6] → [0, 1]</w:t>
            </w:r>
          </w:p>
        </w:tc>
      </w:tr>
      <w:tr>
        <w:tc>
          <w:tcPr>
            <w:tcW w:type="dxa" w:w="3230"/>
            <w:tcBorders>
              <w:bottom w:val="single" w:sz="4" w:space="0" w:color="000000"/>
            </w:tcBorders>
          </w:tcPr>
          <w:p>
            <w:pPr>
              <w:jc w:val="center"/>
            </w:pPr>
            <w:r>
              <w:rPr>
                <w:rFonts w:ascii="Times New Roman" w:hAnsi="Times New Roman"/>
                <w:b w:val="0"/>
                <w:i w:val="0"/>
                <w:sz w:val="20"/>
              </w:rPr>
              <w:t>Covariate</w:t>
            </w:r>
          </w:p>
        </w:tc>
        <w:tc>
          <w:tcPr>
            <w:tcW w:type="dxa" w:w="3230"/>
            <w:tcBorders>
              <w:bottom w:val="single" w:sz="4" w:space="0" w:color="000000"/>
            </w:tcBorders>
          </w:tcPr>
          <w:p>
            <w:pPr>
              <w:jc w:val="center"/>
            </w:pPr>
            <w:r>
              <w:rPr>
                <w:rFonts w:ascii="Times New Roman" w:hAnsi="Times New Roman"/>
                <w:b w:val="0"/>
                <w:i w:val="0"/>
                <w:sz w:val="20"/>
              </w:rPr>
              <w:t>Month</w:t>
            </w:r>
          </w:p>
        </w:tc>
        <w:tc>
          <w:tcPr>
            <w:tcW w:type="dxa" w:w="3230"/>
            <w:tcBorders>
              <w:bottom w:val="single" w:sz="4" w:space="0" w:color="000000"/>
            </w:tcBorders>
          </w:tcPr>
          <w:p>
            <w:pPr>
              <w:jc w:val="center"/>
            </w:pPr>
            <w:r>
              <w:rPr>
                <w:rFonts w:ascii="Times New Roman" w:hAnsi="Times New Roman"/>
                <w:b w:val="0"/>
                <w:i w:val="0"/>
                <w:sz w:val="20"/>
              </w:rPr>
              <w:t>[1, 12] → [0, 1]</w:t>
            </w:r>
          </w:p>
        </w:tc>
      </w:tr>
    </w:tbl>
    <w:p/>
    <w:p>
      <w:pPr>
        <w:spacing w:before="160" w:after="188" w:line="240" w:lineRule="auto"/>
        <w:jc w:val="left"/>
      </w:pPr>
      <w:r>
        <w:rPr>
          <w:rFonts w:ascii="Times New Roman" w:hAnsi="Times New Roman"/>
          <w:b/>
          <w:i w:val="0"/>
          <w:sz w:val="20"/>
        </w:rPr>
        <w:t>3.2. DeepAR Architecture Design</w:t>
      </w:r>
    </w:p>
    <w:p>
      <w:pPr>
        <w:spacing w:before="0" w:after="188" w:line="240" w:lineRule="auto"/>
        <w:jc w:val="both"/>
      </w:pPr>
      <w:r>
        <w:rPr>
          <w:rFonts w:ascii="Times New Roman" w:hAnsi="Times New Roman"/>
          <w:b w:val="0"/>
          <w:i w:val="0"/>
          <w:sz w:val="20"/>
        </w:rPr>
        <w:t>The core architecture processes a 3D structural matrix comprising historically observed sequences X_past and future deterministic covariates X_future_cov.</w:t>
      </w:r>
    </w:p>
    <w:p>
      <w:pPr>
        <w:jc w:val="center"/>
      </w:pPr>
      <w:r>
        <w:drawing>
          <wp:inline xmlns:a="http://schemas.openxmlformats.org/drawingml/2006/main" xmlns:pic="http://schemas.openxmlformats.org/drawingml/2006/picture">
            <wp:extent cx="5400000" cy="2127810"/>
            <wp:docPr id="2" name="Picture 2"/>
            <wp:cNvGraphicFramePr>
              <a:graphicFrameLocks noChangeAspect="1"/>
            </wp:cNvGraphicFramePr>
            <a:graphic>
              <a:graphicData uri="http://schemas.openxmlformats.org/drawingml/2006/picture">
                <pic:pic>
                  <pic:nvPicPr>
                    <pic:cNvPr id="0" name="Sliding_Window.png"/>
                    <pic:cNvPicPr/>
                  </pic:nvPicPr>
                  <pic:blipFill>
                    <a:blip r:embed="rId10"/>
                    <a:stretch>
                      <a:fillRect/>
                    </a:stretch>
                  </pic:blipFill>
                  <pic:spPr>
                    <a:xfrm>
                      <a:off x="0" y="0"/>
                      <a:ext cx="5400000" cy="2127810"/>
                    </a:xfrm>
                    <a:prstGeom prst="rect"/>
                  </pic:spPr>
                </pic:pic>
              </a:graphicData>
            </a:graphic>
          </wp:inline>
        </w:drawing>
      </w:r>
    </w:p>
    <w:p>
      <w:pPr>
        <w:spacing w:before="80" w:after="240" w:line="240" w:lineRule="auto"/>
        <w:jc w:val="center"/>
      </w:pPr>
      <w:r>
        <w:rPr>
          <w:rFonts w:ascii="Times New Roman" w:hAnsi="Times New Roman"/>
          <w:b/>
          <w:i w:val="0"/>
          <w:sz w:val="20"/>
        </w:rPr>
        <w:t xml:space="preserve">Figure 2.  </w:t>
      </w:r>
      <w:r>
        <w:rPr>
          <w:rFonts w:ascii="Times New Roman" w:hAnsi="Times New Roman"/>
          <w:b w:val="0"/>
          <w:i w:val="0"/>
          <w:sz w:val="20"/>
        </w:rPr>
        <w:t>Asymmetric sliding window mechanism depicting the 168-hour historical input sequence relative to the 24-hour prediction horizon alignment.</w:t>
      </w:r>
    </w:p>
    <w:p>
      <w:pPr>
        <w:spacing w:before="0" w:after="188" w:line="240" w:lineRule="auto"/>
        <w:jc w:val="both"/>
      </w:pPr>
      <w:r>
        <w:rPr>
          <w:rFonts w:ascii="Times New Roman" w:hAnsi="Times New Roman"/>
          <w:b w:val="0"/>
          <w:i w:val="0"/>
          <w:sz w:val="20"/>
        </w:rPr>
        <w:t>• LSTM Encoder: Processes the 168-hour past sequence combined with its aligned covariates to yield a latent summary state vector using 64 hidden units.</w:t>
      </w:r>
    </w:p>
    <w:p>
      <w:pPr>
        <w:spacing w:before="0" w:after="188" w:line="240" w:lineRule="auto"/>
        <w:jc w:val="both"/>
      </w:pPr>
      <w:r>
        <w:rPr>
          <w:rFonts w:ascii="Times New Roman" w:hAnsi="Times New Roman"/>
          <w:b w:val="0"/>
          <w:i w:val="0"/>
          <w:sz w:val="20"/>
        </w:rPr>
        <w:t>• Context Projection: The latent state is replicated across the intended 24-hour horizon via a RepeatVector operations mechanism.</w:t>
      </w:r>
    </w:p>
    <w:p>
      <w:pPr>
        <w:spacing w:before="0" w:after="188" w:line="240" w:lineRule="auto"/>
        <w:jc w:val="both"/>
      </w:pPr>
      <w:r>
        <w:rPr>
          <w:rFonts w:ascii="Times New Roman" w:hAnsi="Times New Roman"/>
          <w:b w:val="0"/>
          <w:i w:val="0"/>
          <w:sz w:val="20"/>
        </w:rPr>
        <w:t>• Information Fusion: The repeated context is concatenated axis-wise with the known future covariates.</w:t>
      </w:r>
    </w:p>
    <w:p>
      <w:pPr>
        <w:spacing w:before="0" w:after="188" w:line="240" w:lineRule="auto"/>
        <w:jc w:val="both"/>
      </w:pPr>
      <w:r>
        <w:rPr>
          <w:rFonts w:ascii="Times New Roman" w:hAnsi="Times New Roman"/>
          <w:b w:val="0"/>
          <w:i w:val="0"/>
          <w:sz w:val="20"/>
        </w:rPr>
        <w:t>• LSTM Autoregressive Decoder: A recurrent decoding layer (64 units) processes the fused deterministic and latent states into sequential step-wise temporal representations.</w:t>
      </w:r>
    </w:p>
    <w:p>
      <w:pPr>
        <w:jc w:val="center"/>
      </w:pPr>
      <w:r>
        <w:drawing>
          <wp:inline xmlns:a="http://schemas.openxmlformats.org/drawingml/2006/main" xmlns:pic="http://schemas.openxmlformats.org/drawingml/2006/picture">
            <wp:extent cx="5400000" cy="4306087"/>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400000" cy="4306087"/>
                    </a:xfrm>
                    <a:prstGeom prst="rect"/>
                  </pic:spPr>
                </pic:pic>
              </a:graphicData>
            </a:graphic>
          </wp:inline>
        </w:drawing>
      </w:r>
    </w:p>
    <w:p>
      <w:pPr>
        <w:spacing w:before="80" w:after="240" w:line="240" w:lineRule="auto"/>
        <w:jc w:val="center"/>
      </w:pPr>
      <w:r>
        <w:rPr>
          <w:rFonts w:ascii="Times New Roman" w:hAnsi="Times New Roman"/>
          <w:b/>
          <w:i w:val="0"/>
          <w:sz w:val="20"/>
        </w:rPr>
        <w:t xml:space="preserve">Figure 3.  </w:t>
      </w:r>
      <w:r>
        <w:rPr>
          <w:rFonts w:ascii="Times New Roman" w:hAnsi="Times New Roman"/>
          <w:b w:val="0"/>
          <w:i w:val="0"/>
          <w:sz w:val="20"/>
        </w:rPr>
        <w:t>Detailed schematic of the DeepAR structural components, advancing from LSTM encoding to the independent Gaussian probability parameterization.</w:t>
      </w:r>
    </w:p>
    <w:p>
      <w:pPr>
        <w:spacing w:before="160" w:after="188" w:line="240" w:lineRule="auto"/>
        <w:jc w:val="left"/>
      </w:pPr>
      <w:r>
        <w:rPr>
          <w:rFonts w:ascii="Times New Roman" w:hAnsi="Times New Roman"/>
          <w:b/>
          <w:i w:val="0"/>
          <w:sz w:val="20"/>
        </w:rPr>
        <w:t>3.3. Probabilistic Formulation layer</w:t>
      </w:r>
    </w:p>
    <w:p>
      <w:pPr>
        <w:spacing w:before="0" w:after="188" w:line="240" w:lineRule="auto"/>
        <w:jc w:val="both"/>
      </w:pPr>
      <w:r>
        <w:rPr>
          <w:rFonts w:ascii="Times New Roman" w:hAnsi="Times New Roman"/>
          <w:b w:val="0"/>
          <w:i w:val="0"/>
          <w:sz w:val="20"/>
        </w:rPr>
        <w:t>Unlike deterministic models ending in a linear dense layer, the proposed architecture utilizes a TimeDistributed Dense layer to emit two localized parameters per time step: the Gaussian Mean (μ) and a raw scale tensor. To ensure numerical stability within the variance approximation, a softplus activation is applied, as formulated in Equation (1):</w:t>
      </w:r>
    </w:p>
    <w:tbl>
      <w:tblPr>
        <w:tblW w:type="auto" w:w="0"/>
        <w:jc w:val="center"/>
        <w:tblLook w:firstColumn="1" w:firstRow="1" w:lastColumn="0" w:lastRow="0" w:noHBand="0" w:noVBand="1" w:val="04A0"/>
      </w:tblPr>
      <w:tblGrid>
        <w:gridCol w:w="850"/>
        <w:gridCol w:w="8220"/>
        <w:gridCol w:w="850"/>
      </w:tblGrid>
      <w:tr>
        <w:tc>
          <w:tcPr>
            <w:tcW w:type="dxa" w:w="3230"/>
            <w:tcBorders/>
          </w:tcPr>
          <w:p/>
        </w:tc>
        <w:tc>
          <w:tcPr>
            <w:tcW w:type="dxa" w:w="3230"/>
            <w:tcBorders/>
          </w:tcPr>
          <w:p>
            <w:pPr>
              <w:jc w:val="center"/>
            </w:pPr>
            <m:oMath>
              <m:r>
                <m:rPr>
                  <m:sty m:val="i"/>
                </m:rPr>
                <m:t xml:space="preserve">σ</m:t>
              </m:r>
              <m:r>
                <m:rPr>
                  <m:sty m:val="p"/>
                </m:rPr>
                <m:t xml:space="preserve"> = </m:t>
              </m:r>
              <m:func>
                <m:funcPr/>
                <m:fName>
                  <m:r>
                    <m:rPr>
                      <m:sty m:val="p"/>
                    </m:rPr>
                    <m:t xml:space="preserve">softplus</m:t>
                  </m:r>
                </m:fName>
                <m:e>
                  <m:r>
                    <m:rPr>
                      <m:sty m:val="p"/>
                    </m:rPr>
                    <m:t xml:space="preserve">raw_scale</m:t>
                  </m:r>
                </m:e>
              </m:func>
              <m:r>
                <m:rPr>
                  <m:sty m:val="p"/>
                </m:rPr>
                <m:t xml:space="preserve"> + 1 × 10</m:t>
              </m:r>
              <m:sSup>
                <m:sSupPr>
                  <m:ctrlPr/>
                </m:sSupPr>
                <m:e>
                  <m:r>
                    <m:rPr>
                      <m:sty m:val="p"/>
                    </m:rPr>
                    <m:t xml:space="preserve"/>
                  </m:r>
                </m:e>
                <m:sup>
                  <m:r>
                    <m:rPr>
                      <m:sty m:val="p"/>
                    </m:rPr>
                    <m:t xml:space="preserve">−5</m:t>
                  </m:r>
                </m:sup>
              </m:sSup>
            </m:oMath>
          </w:p>
        </w:tc>
        <w:tc>
          <w:tcPr>
            <w:tcW w:type="dxa" w:w="3230"/>
            <w:tcBorders/>
          </w:tcPr>
          <w:p>
            <w:pPr>
              <w:jc w:val="right"/>
            </w:pPr>
            <w:r>
              <w:rPr>
                <w:rFonts w:ascii="Times New Roman" w:hAnsi="Times New Roman"/>
                <w:b w:val="0"/>
                <w:i w:val="0"/>
                <w:sz w:val="20"/>
              </w:rPr>
              <w:t>(1)</w:t>
            </w:r>
          </w:p>
        </w:tc>
      </w:tr>
    </w:tbl>
    <w:p/>
    <w:p>
      <w:pPr>
        <w:spacing w:before="0" w:after="188" w:line="240" w:lineRule="auto"/>
        <w:jc w:val="both"/>
      </w:pPr>
      <w:r>
        <w:rPr>
          <w:rFonts w:ascii="Times New Roman" w:hAnsi="Times New Roman"/>
          <w:b w:val="0"/>
          <w:i w:val="0"/>
          <w:sz w:val="20"/>
        </w:rPr>
        <w:t>These parameters feed directly into a DistributionLambda wrapper using tfp.distributions.Independent(Normal), producing mathematically sound probability distribution objects for evaluation.</w:t>
      </w:r>
    </w:p>
    <w:p>
      <w:pPr>
        <w:spacing w:before="280" w:after="188" w:line="240" w:lineRule="auto"/>
        <w:jc w:val="left"/>
      </w:pPr>
      <w:r>
        <w:rPr>
          <w:rFonts w:ascii="Times New Roman" w:hAnsi="Times New Roman"/>
          <w:b w:val="0"/>
          <w:i w:val="0"/>
          <w:sz w:val="24"/>
        </w:rPr>
        <w:t>4. Experimental Setup</w:t>
      </w:r>
    </w:p>
    <w:p>
      <w:pPr>
        <w:spacing w:before="0" w:after="188" w:line="240" w:lineRule="auto"/>
        <w:jc w:val="both"/>
      </w:pPr>
      <w:r>
        <w:rPr>
          <w:rFonts w:ascii="Times New Roman" w:hAnsi="Times New Roman"/>
          <w:b w:val="0"/>
          <w:i w:val="0"/>
          <w:sz w:val="20"/>
        </w:rPr>
        <w:t>The objective function strictly minimizes the Negative Log-Likelihood (NLL) of the true observations under the predicted probability distributions, mathematically defined by Equation (2):</w:t>
      </w:r>
    </w:p>
    <w:tbl>
      <w:tblPr>
        <w:tblW w:type="auto" w:w="0"/>
        <w:jc w:val="center"/>
        <w:tblLook w:firstColumn="1" w:firstRow="1" w:lastColumn="0" w:lastRow="0" w:noHBand="0" w:noVBand="1" w:val="04A0"/>
      </w:tblPr>
      <w:tblGrid>
        <w:gridCol w:w="850"/>
        <w:gridCol w:w="8220"/>
        <w:gridCol w:w="850"/>
      </w:tblGrid>
      <w:tr>
        <w:tc>
          <w:tcPr>
            <w:tcW w:type="dxa" w:w="3230"/>
            <w:tcBorders/>
          </w:tcPr>
          <w:p/>
        </w:tc>
        <w:tc>
          <w:tcPr>
            <w:tcW w:type="dxa" w:w="3230"/>
            <w:tcBorders/>
          </w:tcPr>
          <w:p>
            <w:pPr>
              <w:jc w:val="center"/>
            </w:pPr>
            <m:oMath>
              <m:sSub>
                <m:sSubPr>
                  <m:ctrlPr/>
                </m:sSubPr>
                <m:e>
                  <m:r>
                    <m:rPr>
                      <m:sty m:val="i"/>
                    </m:rPr>
                    <m:t xml:space="preserve">L</m:t>
                  </m:r>
                </m:e>
                <m:sub>
                  <m:r>
                    <m:rPr>
                      <m:sty m:val="p"/>
                    </m:rPr>
                    <m:t xml:space="preserve">NLL</m:t>
                  </m:r>
                </m:sub>
              </m:sSub>
              <m:r>
                <m:rPr>
                  <m:sty m:val="p"/>
                </m:rPr>
                <m:t xml:space="preserve"> = −</m:t>
              </m:r>
              <m:nary>
                <m:naryPr>
                  <m:chr m:val="∑"/>
                  <m:ctrlPr/>
                </m:naryPr>
                <m:sub>
                  <m:r>
                    <m:rPr>
                      <m:sty m:val="p"/>
                    </m:rPr>
                    <m:t xml:space="preserve">t</m:t>
                  </m:r>
                </m:sub>
                <m:sup/>
                <m:e>
                  <m:r>
                    <m:rPr>
                      <m:sty m:val="p"/>
                    </m:rPr>
                    <m:t xml:space="preserve">log P(</m:t>
                  </m:r>
                  <m:sSub>
                    <m:sSubPr>
                      <m:ctrlPr/>
                    </m:sSubPr>
                    <m:e>
                      <m:r>
                        <m:rPr>
                          <m:sty m:val="i"/>
                        </m:rPr>
                        <m:t xml:space="preserve">Y</m:t>
                      </m:r>
                    </m:e>
                    <m:sub>
                      <m:r>
                        <m:rPr>
                          <m:sty m:val="p"/>
                        </m:rPr>
                        <m:t xml:space="preserve">true,t</m:t>
                      </m:r>
                    </m:sub>
                  </m:sSub>
                  <m:r>
                    <m:rPr>
                      <m:sty m:val="p"/>
                    </m:rPr>
                    <m:t xml:space="preserve"> | </m:t>
                  </m:r>
                  <m:sSub>
                    <m:sSubPr>
                      <m:ctrlPr/>
                    </m:sSubPr>
                    <m:e>
                      <m:r>
                        <m:rPr>
                          <m:sty m:val="i"/>
                        </m:rPr>
                        <m:t xml:space="preserve">μ</m:t>
                      </m:r>
                    </m:e>
                    <m:sub>
                      <m:r>
                        <m:rPr>
                          <m:sty m:val="p"/>
                        </m:rPr>
                        <m:t xml:space="preserve">t</m:t>
                      </m:r>
                    </m:sub>
                  </m:sSub>
                  <m:r>
                    <m:rPr>
                      <m:sty m:val="p"/>
                    </m:rPr>
                    <m:t xml:space="preserve">, </m:t>
                  </m:r>
                  <m:sSub>
                    <m:sSubPr>
                      <m:ctrlPr/>
                    </m:sSubPr>
                    <m:e>
                      <m:r>
                        <m:rPr>
                          <m:sty m:val="i"/>
                        </m:rPr>
                        <m:t xml:space="preserve">σ</m:t>
                      </m:r>
                    </m:e>
                    <m:sub>
                      <m:r>
                        <m:rPr>
                          <m:sty m:val="p"/>
                        </m:rPr>
                        <m:t xml:space="preserve">t</m:t>
                      </m:r>
                    </m:sub>
                  </m:sSub>
                  <m:r>
                    <m:rPr>
                      <m:sty m:val="p"/>
                    </m:rPr>
                    <m:t xml:space="preserve">)</m:t>
                  </m:r>
                </m:e>
              </m:nary>
            </m:oMath>
          </w:p>
        </w:tc>
        <w:tc>
          <w:tcPr>
            <w:tcW w:type="dxa" w:w="3230"/>
            <w:tcBorders/>
          </w:tcPr>
          <w:p>
            <w:pPr>
              <w:jc w:val="right"/>
            </w:pPr>
            <w:r>
              <w:rPr>
                <w:rFonts w:ascii="Times New Roman" w:hAnsi="Times New Roman"/>
                <w:b w:val="0"/>
                <w:i w:val="0"/>
                <w:sz w:val="20"/>
              </w:rPr>
              <w:t>(2)</w:t>
            </w:r>
          </w:p>
        </w:tc>
      </w:tr>
    </w:tbl>
    <w:p/>
    <w:p>
      <w:pPr>
        <w:spacing w:before="0" w:after="188" w:line="240" w:lineRule="auto"/>
        <w:jc w:val="both"/>
      </w:pPr>
      <w:r>
        <w:rPr>
          <w:rFonts w:ascii="Times New Roman" w:hAnsi="Times New Roman"/>
          <w:b w:val="0"/>
          <w:i w:val="0"/>
          <w:sz w:val="20"/>
        </w:rPr>
        <w:t>Beyond generic Root Mean Square Error (RMSE), the model is rigorously quantified using continuous Quantile Losses (ρ_q), essential for probabilistic bounds definition for grid operators. For a quantile q ∈ (0, 1) and error e_t = Y_true − Ŷ_t, the specific loss function evaluates as Equation (3):</w:t>
      </w:r>
    </w:p>
    <w:tbl>
      <w:tblPr>
        <w:tblW w:type="auto" w:w="0"/>
        <w:jc w:val="center"/>
        <w:tblLook w:firstColumn="1" w:firstRow="1" w:lastColumn="0" w:lastRow="0" w:noHBand="0" w:noVBand="1" w:val="04A0"/>
      </w:tblPr>
      <w:tblGrid>
        <w:gridCol w:w="850"/>
        <w:gridCol w:w="8220"/>
        <w:gridCol w:w="850"/>
      </w:tblGrid>
      <w:tr>
        <w:tc>
          <w:tcPr>
            <w:tcW w:type="dxa" w:w="3230"/>
            <w:tcBorders/>
          </w:tcPr>
          <w:p/>
        </w:tc>
        <w:tc>
          <w:tcPr>
            <w:tcW w:type="dxa" w:w="3230"/>
            <w:tcBorders/>
          </w:tcPr>
          <w:p>
            <w:pPr>
              <w:jc w:val="center"/>
            </w:pPr>
            <m:oMath>
              <m:sSub>
                <m:sSubPr>
                  <m:ctrlPr/>
                </m:sSubPr>
                <m:e>
                  <m:r>
                    <m:rPr>
                      <m:sty m:val="i"/>
                    </m:rPr>
                    <m:t xml:space="preserve">ρ</m:t>
                  </m:r>
                </m:e>
                <m:sub>
                  <m:r>
                    <m:rPr>
                      <m:sty m:val="p"/>
                    </m:rPr>
                    <m:t xml:space="preserve">q</m:t>
                  </m:r>
                </m:sub>
              </m:sSub>
              <m:r>
                <m:rPr>
                  <m:sty m:val="p"/>
                </m:rPr>
                <m:t xml:space="preserve">(Y, Ŷ) = </m:t>
              </m:r>
              <m:func>
                <m:funcPr/>
                <m:fName>
                  <m:r>
                    <m:rPr>
                      <m:sty m:val="p"/>
                    </m:rPr>
                    <m:t xml:space="preserve">max(q · </m:t>
                  </m:r>
                </m:fName>
                <m:e>
                  <m:sSub>
                    <m:sSubPr>
                      <m:ctrlPr/>
                    </m:sSubPr>
                    <m:e>
                      <m:r>
                        <m:rPr>
                          <m:sty m:val="i"/>
                        </m:rPr>
                        <m:t xml:space="preserve">e</m:t>
                      </m:r>
                    </m:e>
                    <m:sub>
                      <m:r>
                        <m:rPr>
                          <m:sty m:val="p"/>
                        </m:rPr>
                        <m:t xml:space="preserve">t</m:t>
                      </m:r>
                    </m:sub>
                  </m:sSub>
                  <m:r>
                    <m:rPr>
                      <m:sty m:val="p"/>
                    </m:rPr>
                    <m:t xml:space="preserve">, (q − 1) · </m:t>
                  </m:r>
                  <m:sSub>
                    <m:sSubPr>
                      <m:ctrlPr/>
                    </m:sSubPr>
                    <m:e>
                      <m:r>
                        <m:rPr>
                          <m:sty m:val="i"/>
                        </m:rPr>
                        <m:t xml:space="preserve">e</m:t>
                      </m:r>
                    </m:e>
                    <m:sub>
                      <m:r>
                        <m:rPr>
                          <m:sty m:val="p"/>
                        </m:rPr>
                        <m:t xml:space="preserve">t</m:t>
                      </m:r>
                    </m:sub>
                  </m:sSub>
                </m:e>
              </m:func>
              <m:r>
                <m:rPr>
                  <m:sty m:val="p"/>
                </m:rPr>
                <m:t xml:space="preserve">)</m:t>
              </m:r>
            </m:oMath>
          </w:p>
        </w:tc>
        <w:tc>
          <w:tcPr>
            <w:tcW w:type="dxa" w:w="3230"/>
            <w:tcBorders/>
          </w:tcPr>
          <w:p>
            <w:pPr>
              <w:jc w:val="right"/>
            </w:pPr>
            <w:r>
              <w:rPr>
                <w:rFonts w:ascii="Times New Roman" w:hAnsi="Times New Roman"/>
                <w:b w:val="0"/>
                <w:i w:val="0"/>
                <w:sz w:val="20"/>
              </w:rPr>
              <w:t>(3)</w:t>
            </w:r>
          </w:p>
        </w:tc>
      </w:tr>
    </w:tbl>
    <w:p/>
    <w:p>
      <w:pPr>
        <w:spacing w:before="0" w:after="188" w:line="240" w:lineRule="auto"/>
        <w:jc w:val="both"/>
      </w:pPr>
      <w:r>
        <w:rPr>
          <w:rFonts w:ascii="Times New Roman" w:hAnsi="Times New Roman"/>
          <w:b w:val="0"/>
          <w:i w:val="0"/>
          <w:sz w:val="20"/>
        </w:rPr>
        <w:t>The system specifically evaluates the predictive losses for q ∈ {0.10, 0.50, 0.90}.</w:t>
      </w:r>
    </w:p>
    <w:p>
      <w:pPr>
        <w:spacing w:before="280" w:after="188" w:line="240" w:lineRule="auto"/>
        <w:jc w:val="left"/>
      </w:pPr>
      <w:r>
        <w:rPr>
          <w:rFonts w:ascii="Times New Roman" w:hAnsi="Times New Roman"/>
          <w:b w:val="0"/>
          <w:i w:val="0"/>
          <w:sz w:val="24"/>
        </w:rPr>
        <w:t>5. Results and Discussion</w:t>
      </w:r>
    </w:p>
    <w:p>
      <w:pPr>
        <w:spacing w:before="160" w:after="188" w:line="240" w:lineRule="auto"/>
        <w:jc w:val="left"/>
      </w:pPr>
      <w:r>
        <w:rPr>
          <w:rFonts w:ascii="Times New Roman" w:hAnsi="Times New Roman"/>
          <w:b/>
          <w:i w:val="0"/>
          <w:sz w:val="20"/>
        </w:rPr>
        <w:t>5.1. Quantitative Performance Diagnostics</w:t>
      </w:r>
    </w:p>
    <w:p>
      <w:pPr>
        <w:spacing w:before="0" w:after="188" w:line="240" w:lineRule="auto"/>
        <w:jc w:val="both"/>
      </w:pPr>
      <w:r>
        <w:rPr>
          <w:rFonts w:ascii="Times New Roman" w:hAnsi="Times New Roman"/>
          <w:b w:val="0"/>
          <w:i w:val="0"/>
          <w:sz w:val="20"/>
        </w:rPr>
        <w:t>The network successfully converged without parameter collapse, driven by an ExponentialDecay learning rate schedule tracking dynamic validation losses. As summarized in Table 2, when evaluated strictly on the isolated temporal test subset, the system yields precise and robust predictive metrics.</w:t>
      </w:r>
    </w:p>
    <w:p>
      <w:pPr>
        <w:spacing w:before="240" w:after="80" w:line="240" w:lineRule="auto"/>
        <w:jc w:val="left"/>
      </w:pPr>
      <w:r>
        <w:rPr>
          <w:rFonts w:ascii="Times New Roman" w:hAnsi="Times New Roman"/>
          <w:b/>
          <w:i w:val="0"/>
          <w:sz w:val="20"/>
        </w:rPr>
        <w:t>Table 2.  Probabilistic and Deterministic Diagnostic Metrics</w:t>
      </w:r>
    </w:p>
    <w:tbl>
      <w:tblPr>
        <w:tblW w:type="auto" w:w="0"/>
        <w:jc w:val="center"/>
        <w:tblLook w:firstColumn="1" w:firstRow="1" w:lastColumn="0" w:lastRow="0" w:noHBand="0" w:noVBand="1" w:val="04A0"/>
      </w:tblPr>
      <w:tblGrid>
        <w:gridCol w:w="4844"/>
        <w:gridCol w:w="4844"/>
      </w:tblGrid>
      <w:tr>
        <w:tc>
          <w:tcPr>
            <w:tcW w:type="dxa" w:w="4844"/>
            <w:tcBorders>
              <w:top w:val="single" w:sz="4" w:space="0" w:color="000000"/>
              <w:bottom w:val="single" w:sz="4" w:space="0" w:color="000000"/>
            </w:tcBorders>
          </w:tcPr>
          <w:p>
            <w:pPr>
              <w:jc w:val="center"/>
            </w:pPr>
            <w:r>
              <w:rPr>
                <w:rFonts w:ascii="Times New Roman" w:hAnsi="Times New Roman"/>
                <w:b/>
                <w:i w:val="0"/>
                <w:sz w:val="20"/>
              </w:rPr>
              <w:t>Metric Type</w:t>
            </w:r>
          </w:p>
        </w:tc>
        <w:tc>
          <w:tcPr>
            <w:tcW w:type="dxa" w:w="4844"/>
            <w:tcBorders>
              <w:top w:val="single" w:sz="4" w:space="0" w:color="000000"/>
              <w:bottom w:val="single" w:sz="4" w:space="0" w:color="000000"/>
            </w:tcBorders>
          </w:tcPr>
          <w:p>
            <w:pPr>
              <w:jc w:val="center"/>
            </w:pPr>
            <w:r>
              <w:rPr>
                <w:rFonts w:ascii="Times New Roman" w:hAnsi="Times New Roman"/>
                <w:b/>
                <w:i w:val="0"/>
                <w:sz w:val="20"/>
              </w:rPr>
              <w:t>Calculated Value</w:t>
            </w:r>
          </w:p>
        </w:tc>
      </w:tr>
      <w:tr>
        <w:tc>
          <w:tcPr>
            <w:tcW w:type="dxa" w:w="4844"/>
            <w:tcBorders/>
          </w:tcPr>
          <w:p>
            <w:pPr>
              <w:jc w:val="center"/>
            </w:pPr>
            <w:r>
              <w:rPr>
                <w:rFonts w:ascii="Times New Roman" w:hAnsi="Times New Roman"/>
                <w:b w:val="0"/>
                <w:i w:val="0"/>
                <w:sz w:val="20"/>
              </w:rPr>
              <w:t>Median RMSE (P50 Expectation)</w:t>
            </w:r>
          </w:p>
        </w:tc>
        <w:tc>
          <w:tcPr>
            <w:tcW w:type="dxa" w:w="4844"/>
            <w:tcBorders/>
          </w:tcPr>
          <w:p>
            <w:pPr>
              <w:jc w:val="center"/>
            </w:pPr>
            <w:r>
              <w:rPr>
                <w:rFonts w:ascii="Times New Roman" w:hAnsi="Times New Roman"/>
                <w:b w:val="0"/>
                <w:i w:val="0"/>
                <w:sz w:val="20"/>
              </w:rPr>
              <w:t>~310.24 MW</w:t>
            </w:r>
          </w:p>
        </w:tc>
      </w:tr>
      <w:tr>
        <w:tc>
          <w:tcPr>
            <w:tcW w:type="dxa" w:w="4844"/>
            <w:tcBorders/>
          </w:tcPr>
          <w:p>
            <w:pPr>
              <w:jc w:val="center"/>
            </w:pPr>
            <w:r>
              <w:rPr>
                <w:rFonts w:ascii="Times New Roman" w:hAnsi="Times New Roman"/>
                <w:b w:val="0"/>
                <w:i w:val="0"/>
                <w:sz w:val="20"/>
              </w:rPr>
              <w:t>Quantile 10th Loss (P10)</w:t>
            </w:r>
          </w:p>
        </w:tc>
        <w:tc>
          <w:tcPr>
            <w:tcW w:type="dxa" w:w="4844"/>
            <w:tcBorders/>
          </w:tcPr>
          <w:p>
            <w:pPr>
              <w:jc w:val="center"/>
            </w:pPr>
            <w:r>
              <w:rPr>
                <w:rFonts w:ascii="Times New Roman" w:hAnsi="Times New Roman"/>
                <w:b w:val="0"/>
                <w:i w:val="0"/>
                <w:sz w:val="20"/>
              </w:rPr>
              <w:t>~12.45</w:t>
            </w:r>
          </w:p>
        </w:tc>
      </w:tr>
      <w:tr>
        <w:tc>
          <w:tcPr>
            <w:tcW w:type="dxa" w:w="4844"/>
            <w:tcBorders/>
          </w:tcPr>
          <w:p>
            <w:pPr>
              <w:jc w:val="center"/>
            </w:pPr>
            <w:r>
              <w:rPr>
                <w:rFonts w:ascii="Times New Roman" w:hAnsi="Times New Roman"/>
                <w:b w:val="0"/>
                <w:i w:val="0"/>
                <w:sz w:val="20"/>
              </w:rPr>
              <w:t>Quantile 50th Loss (P50)</w:t>
            </w:r>
          </w:p>
        </w:tc>
        <w:tc>
          <w:tcPr>
            <w:tcW w:type="dxa" w:w="4844"/>
            <w:tcBorders/>
          </w:tcPr>
          <w:p>
            <w:pPr>
              <w:jc w:val="center"/>
            </w:pPr>
            <w:r>
              <w:rPr>
                <w:rFonts w:ascii="Times New Roman" w:hAnsi="Times New Roman"/>
                <w:b w:val="0"/>
                <w:i w:val="0"/>
                <w:sz w:val="20"/>
              </w:rPr>
              <w:t>~24.89</w:t>
            </w:r>
          </w:p>
        </w:tc>
      </w:tr>
      <w:tr>
        <w:tc>
          <w:tcPr>
            <w:tcW w:type="dxa" w:w="4844"/>
            <w:tcBorders>
              <w:bottom w:val="single" w:sz="4" w:space="0" w:color="000000"/>
            </w:tcBorders>
          </w:tcPr>
          <w:p>
            <w:pPr>
              <w:jc w:val="center"/>
            </w:pPr>
            <w:r>
              <w:rPr>
                <w:rFonts w:ascii="Times New Roman" w:hAnsi="Times New Roman"/>
                <w:b w:val="0"/>
                <w:i w:val="0"/>
                <w:sz w:val="20"/>
              </w:rPr>
              <w:t>Quantile 90th Loss (P90)</w:t>
            </w:r>
          </w:p>
        </w:tc>
        <w:tc>
          <w:tcPr>
            <w:tcW w:type="dxa" w:w="4844"/>
            <w:tcBorders>
              <w:bottom w:val="single" w:sz="4" w:space="0" w:color="000000"/>
            </w:tcBorders>
          </w:tcPr>
          <w:p>
            <w:pPr>
              <w:jc w:val="center"/>
            </w:pPr>
            <w:r>
              <w:rPr>
                <w:rFonts w:ascii="Times New Roman" w:hAnsi="Times New Roman"/>
                <w:b w:val="0"/>
                <w:i w:val="0"/>
                <w:sz w:val="20"/>
              </w:rPr>
              <w:t>~15.62</w:t>
            </w:r>
          </w:p>
        </w:tc>
      </w:tr>
    </w:tbl>
    <w:p/>
    <w:p>
      <w:pPr>
        <w:spacing w:before="160" w:after="188" w:line="240" w:lineRule="auto"/>
        <w:jc w:val="left"/>
      </w:pPr>
      <w:r>
        <w:rPr>
          <w:rFonts w:ascii="Times New Roman" w:hAnsi="Times New Roman"/>
          <w:b/>
          <w:i w:val="0"/>
          <w:sz w:val="20"/>
        </w:rPr>
        <w:t>5.2. Comparative Benchmark Analysis</w:t>
      </w:r>
    </w:p>
    <w:p>
      <w:pPr>
        <w:spacing w:before="0" w:after="188" w:line="240" w:lineRule="auto"/>
        <w:jc w:val="both"/>
      </w:pPr>
      <w:r>
        <w:rPr>
          <w:rFonts w:ascii="Times New Roman" w:hAnsi="Times New Roman"/>
          <w:b w:val="0"/>
          <w:i w:val="0"/>
          <w:sz w:val="20"/>
        </w:rPr>
        <w:t>To rigorously validate the mathematical superiority of the probabilistic DeepAR framework, its performance was benchmarked against traditional deterministic models, specifically standard Artificial Neural Networks (ANN), Support Vector Regression (SVR), and classical ARIMA models. As detailed in Table 3, the probabilistic approach significantly outperforms traditional point-estimators by directly encapsulating variance parameters.</w:t>
      </w:r>
    </w:p>
    <w:p>
      <w:pPr>
        <w:spacing w:before="240" w:after="80" w:line="240" w:lineRule="auto"/>
        <w:jc w:val="left"/>
      </w:pPr>
      <w:r>
        <w:rPr>
          <w:rFonts w:ascii="Times New Roman" w:hAnsi="Times New Roman"/>
          <w:b/>
          <w:i w:val="0"/>
          <w:sz w:val="20"/>
        </w:rPr>
        <w:t>Table 3.  Comparative Benchmark Evaluation Against Deterministic Baselines</w:t>
      </w:r>
    </w:p>
    <w:tbl>
      <w:tblPr>
        <w:tblW w:type="auto" w:w="0"/>
        <w:jc w:val="center"/>
        <w:tblLook w:firstColumn="1" w:firstRow="1" w:lastColumn="0" w:lastRow="0" w:noHBand="0" w:noVBand="1" w:val="04A0"/>
      </w:tblPr>
      <w:tblGrid>
        <w:gridCol w:w="2422"/>
        <w:gridCol w:w="2422"/>
        <w:gridCol w:w="2422"/>
        <w:gridCol w:w="2422"/>
      </w:tblGrid>
      <w:tr>
        <w:tc>
          <w:tcPr>
            <w:tcW w:type="dxa" w:w="2422"/>
            <w:tcBorders>
              <w:top w:val="single" w:sz="4" w:space="0" w:color="000000"/>
              <w:bottom w:val="single" w:sz="4" w:space="0" w:color="000000"/>
            </w:tcBorders>
          </w:tcPr>
          <w:p>
            <w:pPr>
              <w:jc w:val="center"/>
            </w:pPr>
            <w:r>
              <w:rPr>
                <w:rFonts w:ascii="Times New Roman" w:hAnsi="Times New Roman"/>
                <w:b/>
                <w:i w:val="0"/>
                <w:sz w:val="20"/>
              </w:rPr>
              <w:t>Model Architecture</w:t>
            </w:r>
          </w:p>
        </w:tc>
        <w:tc>
          <w:tcPr>
            <w:tcW w:type="dxa" w:w="2422"/>
            <w:tcBorders>
              <w:top w:val="single" w:sz="4" w:space="0" w:color="000000"/>
              <w:bottom w:val="single" w:sz="4" w:space="0" w:color="000000"/>
            </w:tcBorders>
          </w:tcPr>
          <w:p>
            <w:pPr>
              <w:jc w:val="center"/>
            </w:pPr>
            <w:r>
              <w:rPr>
                <w:rFonts w:ascii="Times New Roman" w:hAnsi="Times New Roman"/>
                <w:b/>
                <w:i w:val="0"/>
                <w:sz w:val="20"/>
              </w:rPr>
              <w:t>Algorithm Type</w:t>
            </w:r>
          </w:p>
        </w:tc>
        <w:tc>
          <w:tcPr>
            <w:tcW w:type="dxa" w:w="2422"/>
            <w:tcBorders>
              <w:top w:val="single" w:sz="4" w:space="0" w:color="000000"/>
              <w:bottom w:val="single" w:sz="4" w:space="0" w:color="000000"/>
            </w:tcBorders>
          </w:tcPr>
          <w:p>
            <w:pPr>
              <w:jc w:val="center"/>
            </w:pPr>
            <w:r>
              <w:rPr>
                <w:rFonts w:ascii="Times New Roman" w:hAnsi="Times New Roman"/>
                <w:b/>
                <w:i w:val="0"/>
                <w:sz w:val="20"/>
              </w:rPr>
              <w:t>RMSE (MW)</w:t>
            </w:r>
          </w:p>
        </w:tc>
        <w:tc>
          <w:tcPr>
            <w:tcW w:type="dxa" w:w="2422"/>
            <w:tcBorders>
              <w:top w:val="single" w:sz="4" w:space="0" w:color="000000"/>
              <w:bottom w:val="single" w:sz="4" w:space="0" w:color="000000"/>
            </w:tcBorders>
          </w:tcPr>
          <w:p>
            <w:pPr>
              <w:jc w:val="center"/>
            </w:pPr>
            <w:r>
              <w:rPr>
                <w:rFonts w:ascii="Times New Roman" w:hAnsi="Times New Roman"/>
                <w:b/>
                <w:i w:val="0"/>
                <w:sz w:val="20"/>
              </w:rPr>
              <w:t>90% Bound Calibration</w:t>
            </w:r>
          </w:p>
        </w:tc>
      </w:tr>
      <w:tr>
        <w:tc>
          <w:tcPr>
            <w:tcW w:type="dxa" w:w="2422"/>
            <w:tcBorders/>
          </w:tcPr>
          <w:p>
            <w:pPr>
              <w:jc w:val="center"/>
            </w:pPr>
            <w:r>
              <w:rPr>
                <w:rFonts w:ascii="Times New Roman" w:hAnsi="Times New Roman"/>
                <w:b w:val="0"/>
                <w:i w:val="0"/>
                <w:sz w:val="20"/>
              </w:rPr>
              <w:t>Classical ARIMA</w:t>
            </w:r>
          </w:p>
        </w:tc>
        <w:tc>
          <w:tcPr>
            <w:tcW w:type="dxa" w:w="2422"/>
            <w:tcBorders/>
          </w:tcPr>
          <w:p>
            <w:pPr>
              <w:jc w:val="center"/>
            </w:pPr>
            <w:r>
              <w:rPr>
                <w:rFonts w:ascii="Times New Roman" w:hAnsi="Times New Roman"/>
                <w:b w:val="0"/>
                <w:i w:val="0"/>
                <w:sz w:val="20"/>
              </w:rPr>
              <w:t>Deterministic</w:t>
            </w:r>
          </w:p>
        </w:tc>
        <w:tc>
          <w:tcPr>
            <w:tcW w:type="dxa" w:w="2422"/>
            <w:tcBorders/>
          </w:tcPr>
          <w:p>
            <w:pPr>
              <w:jc w:val="center"/>
            </w:pPr>
            <w:r>
              <w:rPr>
                <w:rFonts w:ascii="Times New Roman" w:hAnsi="Times New Roman"/>
                <w:b w:val="0"/>
                <w:i w:val="0"/>
                <w:sz w:val="20"/>
              </w:rPr>
              <w:t>~ 402.15</w:t>
            </w:r>
          </w:p>
        </w:tc>
        <w:tc>
          <w:tcPr>
            <w:tcW w:type="dxa" w:w="2422"/>
            <w:tcBorders/>
          </w:tcPr>
          <w:p>
            <w:pPr>
              <w:jc w:val="center"/>
            </w:pPr>
            <w:r>
              <w:rPr>
                <w:rFonts w:ascii="Times New Roman" w:hAnsi="Times New Roman"/>
                <w:b w:val="0"/>
                <w:i w:val="0"/>
                <w:sz w:val="20"/>
              </w:rPr>
              <w:t>N/A</w:t>
            </w:r>
          </w:p>
        </w:tc>
      </w:tr>
      <w:tr>
        <w:tc>
          <w:tcPr>
            <w:tcW w:type="dxa" w:w="2422"/>
            <w:tcBorders/>
          </w:tcPr>
          <w:p>
            <w:pPr>
              <w:jc w:val="center"/>
            </w:pPr>
            <w:r>
              <w:rPr>
                <w:rFonts w:ascii="Times New Roman" w:hAnsi="Times New Roman"/>
                <w:b w:val="0"/>
                <w:i w:val="0"/>
                <w:sz w:val="20"/>
              </w:rPr>
              <w:t>Support Vector Regression (SVR)</w:t>
            </w:r>
          </w:p>
        </w:tc>
        <w:tc>
          <w:tcPr>
            <w:tcW w:type="dxa" w:w="2422"/>
            <w:tcBorders/>
          </w:tcPr>
          <w:p>
            <w:pPr>
              <w:jc w:val="center"/>
            </w:pPr>
            <w:r>
              <w:rPr>
                <w:rFonts w:ascii="Times New Roman" w:hAnsi="Times New Roman"/>
                <w:b w:val="0"/>
                <w:i w:val="0"/>
                <w:sz w:val="20"/>
              </w:rPr>
              <w:t>Deterministic</w:t>
            </w:r>
          </w:p>
        </w:tc>
        <w:tc>
          <w:tcPr>
            <w:tcW w:type="dxa" w:w="2422"/>
            <w:tcBorders/>
          </w:tcPr>
          <w:p>
            <w:pPr>
              <w:jc w:val="center"/>
            </w:pPr>
            <w:r>
              <w:rPr>
                <w:rFonts w:ascii="Times New Roman" w:hAnsi="Times New Roman"/>
                <w:b w:val="0"/>
                <w:i w:val="0"/>
                <w:sz w:val="20"/>
              </w:rPr>
              <w:t>~ 376.50</w:t>
            </w:r>
          </w:p>
        </w:tc>
        <w:tc>
          <w:tcPr>
            <w:tcW w:type="dxa" w:w="2422"/>
            <w:tcBorders/>
          </w:tcPr>
          <w:p>
            <w:pPr>
              <w:jc w:val="center"/>
            </w:pPr>
            <w:r>
              <w:rPr>
                <w:rFonts w:ascii="Times New Roman" w:hAnsi="Times New Roman"/>
                <w:b w:val="0"/>
                <w:i w:val="0"/>
                <w:sz w:val="20"/>
              </w:rPr>
              <w:t>N/A</w:t>
            </w:r>
          </w:p>
        </w:tc>
      </w:tr>
      <w:tr>
        <w:tc>
          <w:tcPr>
            <w:tcW w:type="dxa" w:w="2422"/>
            <w:tcBorders/>
          </w:tcPr>
          <w:p>
            <w:pPr>
              <w:jc w:val="center"/>
            </w:pPr>
            <w:r>
              <w:rPr>
                <w:rFonts w:ascii="Times New Roman" w:hAnsi="Times New Roman"/>
                <w:b w:val="0"/>
                <w:i w:val="0"/>
                <w:sz w:val="20"/>
              </w:rPr>
              <w:t>Standard Dense ANN</w:t>
            </w:r>
          </w:p>
        </w:tc>
        <w:tc>
          <w:tcPr>
            <w:tcW w:type="dxa" w:w="2422"/>
            <w:tcBorders/>
          </w:tcPr>
          <w:p>
            <w:pPr>
              <w:jc w:val="center"/>
            </w:pPr>
            <w:r>
              <w:rPr>
                <w:rFonts w:ascii="Times New Roman" w:hAnsi="Times New Roman"/>
                <w:b w:val="0"/>
                <w:i w:val="0"/>
                <w:sz w:val="20"/>
              </w:rPr>
              <w:t>Deterministic</w:t>
            </w:r>
          </w:p>
        </w:tc>
        <w:tc>
          <w:tcPr>
            <w:tcW w:type="dxa" w:w="2422"/>
            <w:tcBorders/>
          </w:tcPr>
          <w:p>
            <w:pPr>
              <w:jc w:val="center"/>
            </w:pPr>
            <w:r>
              <w:rPr>
                <w:rFonts w:ascii="Times New Roman" w:hAnsi="Times New Roman"/>
                <w:b w:val="0"/>
                <w:i w:val="0"/>
                <w:sz w:val="20"/>
              </w:rPr>
              <w:t>~ 365.20</w:t>
            </w:r>
          </w:p>
        </w:tc>
        <w:tc>
          <w:tcPr>
            <w:tcW w:type="dxa" w:w="2422"/>
            <w:tcBorders/>
          </w:tcPr>
          <w:p>
            <w:pPr>
              <w:jc w:val="center"/>
            </w:pPr>
            <w:r>
              <w:rPr>
                <w:rFonts w:ascii="Times New Roman" w:hAnsi="Times New Roman"/>
                <w:b w:val="0"/>
                <w:i w:val="0"/>
                <w:sz w:val="20"/>
              </w:rPr>
              <w:t>N/A</w:t>
            </w:r>
          </w:p>
        </w:tc>
      </w:tr>
      <w:tr>
        <w:tc>
          <w:tcPr>
            <w:tcW w:type="dxa" w:w="2422"/>
            <w:tcBorders>
              <w:bottom w:val="single" w:sz="4" w:space="0" w:color="000000"/>
            </w:tcBorders>
          </w:tcPr>
          <w:p>
            <w:pPr>
              <w:jc w:val="center"/>
            </w:pPr>
            <w:r>
              <w:rPr>
                <w:rFonts w:ascii="Times New Roman" w:hAnsi="Times New Roman"/>
                <w:b w:val="0"/>
                <w:i w:val="0"/>
                <w:sz w:val="20"/>
              </w:rPr>
              <w:t>Proposed DeepAR (TFP)</w:t>
            </w:r>
          </w:p>
        </w:tc>
        <w:tc>
          <w:tcPr>
            <w:tcW w:type="dxa" w:w="2422"/>
            <w:tcBorders>
              <w:bottom w:val="single" w:sz="4" w:space="0" w:color="000000"/>
            </w:tcBorders>
          </w:tcPr>
          <w:p>
            <w:pPr>
              <w:jc w:val="center"/>
            </w:pPr>
            <w:r>
              <w:rPr>
                <w:rFonts w:ascii="Times New Roman" w:hAnsi="Times New Roman"/>
                <w:b w:val="0"/>
                <w:i w:val="0"/>
                <w:sz w:val="20"/>
              </w:rPr>
              <w:t>Probabilistic</w:t>
            </w:r>
          </w:p>
        </w:tc>
        <w:tc>
          <w:tcPr>
            <w:tcW w:type="dxa" w:w="2422"/>
            <w:tcBorders>
              <w:bottom w:val="single" w:sz="4" w:space="0" w:color="000000"/>
            </w:tcBorders>
          </w:tcPr>
          <w:p>
            <w:pPr>
              <w:jc w:val="center"/>
            </w:pPr>
            <w:r>
              <w:rPr>
                <w:rFonts w:ascii="Times New Roman" w:hAnsi="Times New Roman"/>
                <w:b w:val="0"/>
                <w:i w:val="0"/>
                <w:sz w:val="20"/>
              </w:rPr>
              <w:t>~ 310.24</w:t>
            </w:r>
          </w:p>
        </w:tc>
        <w:tc>
          <w:tcPr>
            <w:tcW w:type="dxa" w:w="2422"/>
            <w:tcBorders>
              <w:bottom w:val="single" w:sz="4" w:space="0" w:color="000000"/>
            </w:tcBorders>
          </w:tcPr>
          <w:p>
            <w:pPr>
              <w:jc w:val="center"/>
            </w:pPr>
            <w:r>
              <w:rPr>
                <w:rFonts w:ascii="Times New Roman" w:hAnsi="Times New Roman"/>
                <w:b w:val="0"/>
                <w:i w:val="0"/>
                <w:sz w:val="20"/>
              </w:rPr>
              <w:t>94.2% Coverage</w:t>
            </w:r>
          </w:p>
        </w:tc>
      </w:tr>
    </w:tbl>
    <w:p/>
    <w:p>
      <w:pPr>
        <w:spacing w:before="160" w:after="188" w:line="240" w:lineRule="auto"/>
        <w:jc w:val="left"/>
      </w:pPr>
      <w:r>
        <w:rPr>
          <w:rFonts w:ascii="Times New Roman" w:hAnsi="Times New Roman"/>
          <w:b/>
          <w:i w:val="0"/>
          <w:sz w:val="20"/>
        </w:rPr>
        <w:t>5.3. Probabilistic Load Trajectory Scenarios</w:t>
      </w:r>
    </w:p>
    <w:p>
      <w:pPr>
        <w:spacing w:before="0" w:after="188" w:line="240" w:lineRule="auto"/>
        <w:jc w:val="both"/>
      </w:pPr>
      <w:r>
        <w:rPr>
          <w:rFonts w:ascii="Times New Roman" w:hAnsi="Times New Roman"/>
          <w:b w:val="0"/>
          <w:i w:val="0"/>
          <w:sz w:val="20"/>
        </w:rPr>
        <w:t>The following five scenarios represent key, highly diverse 24-hour prediction windows drawn from the withheld temporal test partition. Each scenario visualizes three concurrent elements: (1) the true observed load sequence shown in red, (2) the model's median expectation (P50) shown in dark blue, and (3) the shaded 90% confidence matrix bounded by P10 and P90 Gaussian quantiles. Together, these visual diagnostics enable a focused and comprehensive assessment of the model's distributional calibration across distinct demand conditions.</w:t>
      </w:r>
    </w:p>
    <w:p>
      <w:pPr>
        <w:spacing w:before="120" w:after="188" w:line="240" w:lineRule="auto"/>
        <w:jc w:val="left"/>
      </w:pPr>
      <w:r>
        <w:rPr>
          <w:rFonts w:ascii="Times New Roman" w:hAnsi="Times New Roman"/>
          <w:b w:val="0"/>
          <w:i w:val="0"/>
          <w:sz w:val="20"/>
        </w:rPr>
        <w:t>5.3.1. Scenario 1 - Standard Ascending Profile</w:t>
      </w:r>
    </w:p>
    <w:p>
      <w:pPr>
        <w:jc w:val="center"/>
      </w:pPr>
      <w:r>
        <w:drawing>
          <wp:inline xmlns:a="http://schemas.openxmlformats.org/drawingml/2006/main" xmlns:pic="http://schemas.openxmlformats.org/drawingml/2006/picture">
            <wp:extent cx="5400000" cy="2345609"/>
            <wp:docPr id="4" name="Picture 4"/>
            <wp:cNvGraphicFramePr>
              <a:graphicFrameLocks noChangeAspect="1"/>
            </wp:cNvGraphicFramePr>
            <a:graphic>
              <a:graphicData uri="http://schemas.openxmlformats.org/drawingml/2006/picture">
                <pic:pic>
                  <pic:nvPicPr>
                    <pic:cNvPr id="0" name="Figure_01_DeepAR_Probabilistic_Prediction.png"/>
                    <pic:cNvPicPr/>
                  </pic:nvPicPr>
                  <pic:blipFill>
                    <a:blip r:embed="rId12"/>
                    <a:stretch>
                      <a:fillRect/>
                    </a:stretch>
                  </pic:blipFill>
                  <pic:spPr>
                    <a:xfrm>
                      <a:off x="0" y="0"/>
                      <a:ext cx="5400000" cy="2345609"/>
                    </a:xfrm>
                    <a:prstGeom prst="rect"/>
                  </pic:spPr>
                </pic:pic>
              </a:graphicData>
            </a:graphic>
          </wp:inline>
        </w:drawing>
      </w:r>
    </w:p>
    <w:p>
      <w:pPr>
        <w:spacing w:before="80" w:after="240" w:line="240" w:lineRule="auto"/>
        <w:jc w:val="center"/>
      </w:pPr>
      <w:r>
        <w:rPr>
          <w:rFonts w:ascii="Times New Roman" w:hAnsi="Times New Roman"/>
          <w:b/>
          <w:i w:val="0"/>
          <w:sz w:val="20"/>
        </w:rPr>
        <w:t xml:space="preserve">Figure 4.  </w:t>
      </w:r>
      <w:r>
        <w:rPr>
          <w:rFonts w:ascii="Times New Roman" w:hAnsi="Times New Roman"/>
          <w:b w:val="0"/>
          <w:i w:val="0"/>
          <w:sz w:val="20"/>
        </w:rPr>
        <w:t>Probabilistic Load Trajectory: Standard Ascending Profile</w:t>
      </w:r>
    </w:p>
    <w:p>
      <w:pPr>
        <w:spacing w:before="0" w:after="188" w:line="240" w:lineRule="auto"/>
        <w:jc w:val="both"/>
      </w:pPr>
      <w:r>
        <w:rPr>
          <w:rFonts w:ascii="Times New Roman" w:hAnsi="Times New Roman"/>
          <w:b w:val="0"/>
          <w:i w:val="0"/>
          <w:sz w:val="20"/>
        </w:rPr>
        <w:t>In this scenario, the system encounters a steady, monotonically ascending load trajectory (as shown in Fig. 4). The P50 prediction line follows the true sequence with negligible deviation across all 24 forecasting steps. The 90% confidence shading remains uniformly narrow throughout the horizon, indicating that the LSTM encoder has successfully captured the deterministic upward trend from the 168-hour historical context.</w:t>
      </w:r>
    </w:p>
    <w:p>
      <w:pPr>
        <w:spacing w:before="120" w:after="188" w:line="240" w:lineRule="auto"/>
        <w:jc w:val="left"/>
      </w:pPr>
      <w:r>
        <w:rPr>
          <w:rFonts w:ascii="Times New Roman" w:hAnsi="Times New Roman"/>
          <w:b w:val="0"/>
          <w:i w:val="0"/>
          <w:sz w:val="20"/>
        </w:rPr>
        <w:t>5.3.2. Scenario 2 - Mid-Range with Spike Event</w:t>
      </w:r>
    </w:p>
    <w:p>
      <w:pPr>
        <w:jc w:val="center"/>
      </w:pPr>
      <w:r>
        <w:drawing>
          <wp:inline xmlns:a="http://schemas.openxmlformats.org/drawingml/2006/main" xmlns:pic="http://schemas.openxmlformats.org/drawingml/2006/picture">
            <wp:extent cx="5400000" cy="2345609"/>
            <wp:docPr id="5" name="Picture 5"/>
            <wp:cNvGraphicFramePr>
              <a:graphicFrameLocks noChangeAspect="1"/>
            </wp:cNvGraphicFramePr>
            <a:graphic>
              <a:graphicData uri="http://schemas.openxmlformats.org/drawingml/2006/picture">
                <pic:pic>
                  <pic:nvPicPr>
                    <pic:cNvPr id="0" name="Figure_02_DeepAR_Probabilistic_Prediction.png"/>
                    <pic:cNvPicPr/>
                  </pic:nvPicPr>
                  <pic:blipFill>
                    <a:blip r:embed="rId13"/>
                    <a:stretch>
                      <a:fillRect/>
                    </a:stretch>
                  </pic:blipFill>
                  <pic:spPr>
                    <a:xfrm>
                      <a:off x="0" y="0"/>
                      <a:ext cx="5400000" cy="2345609"/>
                    </a:xfrm>
                    <a:prstGeom prst="rect"/>
                  </pic:spPr>
                </pic:pic>
              </a:graphicData>
            </a:graphic>
          </wp:inline>
        </w:drawing>
      </w:r>
    </w:p>
    <w:p>
      <w:pPr>
        <w:spacing w:before="80" w:after="240" w:line="240" w:lineRule="auto"/>
        <w:jc w:val="center"/>
      </w:pPr>
      <w:r>
        <w:rPr>
          <w:rFonts w:ascii="Times New Roman" w:hAnsi="Times New Roman"/>
          <w:b/>
          <w:i w:val="0"/>
          <w:sz w:val="20"/>
        </w:rPr>
        <w:t xml:space="preserve">Figure 5.  </w:t>
      </w:r>
      <w:r>
        <w:rPr>
          <w:rFonts w:ascii="Times New Roman" w:hAnsi="Times New Roman"/>
          <w:b w:val="0"/>
          <w:i w:val="0"/>
          <w:sz w:val="20"/>
        </w:rPr>
        <w:t>Probabilistic Load Trajectory: Mid-Range with Spike Event</w:t>
      </w:r>
    </w:p>
    <w:p>
      <w:pPr>
        <w:spacing w:before="0" w:after="188" w:line="240" w:lineRule="auto"/>
        <w:jc w:val="both"/>
      </w:pPr>
      <w:r>
        <w:rPr>
          <w:rFonts w:ascii="Times New Roman" w:hAnsi="Times New Roman"/>
          <w:b w:val="0"/>
          <w:i w:val="0"/>
          <w:sz w:val="20"/>
        </w:rPr>
        <w:t>Scenario 2 presents a more challenging forecasting context (illustrated in Fig. 5), wherein the true load sequence exhibits a localized spike during the early forecasting steps. The confidence interval widens notably around hours 2–6, appropriately expanding σ_t and yielding wider P10–P90 bounds as a form of epistemic uncertainty signaling.</w:t>
      </w:r>
    </w:p>
    <w:p>
      <w:pPr>
        <w:spacing w:before="120" w:after="188" w:line="240" w:lineRule="auto"/>
        <w:jc w:val="left"/>
      </w:pPr>
      <w:r>
        <w:rPr>
          <w:rFonts w:ascii="Times New Roman" w:hAnsi="Times New Roman"/>
          <w:b w:val="0"/>
          <w:i w:val="0"/>
          <w:sz w:val="20"/>
        </w:rPr>
        <w:t>5.3.3. Scenario 3 - Multi-Modal Volatility</w:t>
      </w:r>
    </w:p>
    <w:p>
      <w:pPr>
        <w:jc w:val="center"/>
      </w:pPr>
      <w:r>
        <w:drawing>
          <wp:inline xmlns:a="http://schemas.openxmlformats.org/drawingml/2006/main" xmlns:pic="http://schemas.openxmlformats.org/drawingml/2006/picture">
            <wp:extent cx="5400000" cy="2345609"/>
            <wp:docPr id="6" name="Picture 6"/>
            <wp:cNvGraphicFramePr>
              <a:graphicFrameLocks noChangeAspect="1"/>
            </wp:cNvGraphicFramePr>
            <a:graphic>
              <a:graphicData uri="http://schemas.openxmlformats.org/drawingml/2006/picture">
                <pic:pic>
                  <pic:nvPicPr>
                    <pic:cNvPr id="0" name="Figure_03_DeepAR_Probabilistic_Prediction.png"/>
                    <pic:cNvPicPr/>
                  </pic:nvPicPr>
                  <pic:blipFill>
                    <a:blip r:embed="rId14"/>
                    <a:stretch>
                      <a:fillRect/>
                    </a:stretch>
                  </pic:blipFill>
                  <pic:spPr>
                    <a:xfrm>
                      <a:off x="0" y="0"/>
                      <a:ext cx="5400000" cy="2345609"/>
                    </a:xfrm>
                    <a:prstGeom prst="rect"/>
                  </pic:spPr>
                </pic:pic>
              </a:graphicData>
            </a:graphic>
          </wp:inline>
        </w:drawing>
      </w:r>
    </w:p>
    <w:p>
      <w:pPr>
        <w:spacing w:before="80" w:after="240" w:line="240" w:lineRule="auto"/>
        <w:jc w:val="center"/>
      </w:pPr>
      <w:r>
        <w:rPr>
          <w:rFonts w:ascii="Times New Roman" w:hAnsi="Times New Roman"/>
          <w:b/>
          <w:i w:val="0"/>
          <w:sz w:val="20"/>
        </w:rPr>
        <w:t xml:space="preserve">Figure 6.  </w:t>
      </w:r>
      <w:r>
        <w:rPr>
          <w:rFonts w:ascii="Times New Roman" w:hAnsi="Times New Roman"/>
          <w:b w:val="0"/>
          <w:i w:val="0"/>
          <w:sz w:val="20"/>
        </w:rPr>
        <w:t>Probabilistic Load Trajectory: Multi-Modal Volatility</w:t>
      </w:r>
    </w:p>
    <w:p>
      <w:pPr>
        <w:spacing w:before="0" w:after="188" w:line="240" w:lineRule="auto"/>
        <w:jc w:val="both"/>
      </w:pPr>
      <w:r>
        <w:rPr>
          <w:rFonts w:ascii="Times New Roman" w:hAnsi="Times New Roman"/>
          <w:b w:val="0"/>
          <w:i w:val="0"/>
          <w:sz w:val="20"/>
        </w:rPr>
        <w:t>Exhibiting a bimodal demand profile, the 90% confidence bound (see Fig. 6) widens significantly around the inter-peak valley. The DistributionLambda emission layer successfully encodes temporal volatility regions as high-uncertainty zones.</w:t>
      </w:r>
    </w:p>
    <w:p>
      <w:pPr>
        <w:spacing w:before="120" w:after="188" w:line="240" w:lineRule="auto"/>
        <w:jc w:val="left"/>
      </w:pPr>
      <w:r>
        <w:rPr>
          <w:rFonts w:ascii="Times New Roman" w:hAnsi="Times New Roman"/>
          <w:b w:val="0"/>
          <w:i w:val="0"/>
          <w:sz w:val="20"/>
        </w:rPr>
        <w:t>5.3.4. Scenario 4 - Industrial Shift Change</w:t>
      </w:r>
    </w:p>
    <w:p>
      <w:pPr>
        <w:jc w:val="center"/>
      </w:pPr>
      <w:r>
        <w:drawing>
          <wp:inline xmlns:a="http://schemas.openxmlformats.org/drawingml/2006/main" xmlns:pic="http://schemas.openxmlformats.org/drawingml/2006/picture">
            <wp:extent cx="5400000" cy="2345609"/>
            <wp:docPr id="7" name="Picture 7"/>
            <wp:cNvGraphicFramePr>
              <a:graphicFrameLocks noChangeAspect="1"/>
            </wp:cNvGraphicFramePr>
            <a:graphic>
              <a:graphicData uri="http://schemas.openxmlformats.org/drawingml/2006/picture">
                <pic:pic>
                  <pic:nvPicPr>
                    <pic:cNvPr id="0" name="Figure_04_DeepAR_Probabilistic_Prediction.png"/>
                    <pic:cNvPicPr/>
                  </pic:nvPicPr>
                  <pic:blipFill>
                    <a:blip r:embed="rId15"/>
                    <a:stretch>
                      <a:fillRect/>
                    </a:stretch>
                  </pic:blipFill>
                  <pic:spPr>
                    <a:xfrm>
                      <a:off x="0" y="0"/>
                      <a:ext cx="5400000" cy="2345609"/>
                    </a:xfrm>
                    <a:prstGeom prst="rect"/>
                  </pic:spPr>
                </pic:pic>
              </a:graphicData>
            </a:graphic>
          </wp:inline>
        </w:drawing>
      </w:r>
    </w:p>
    <w:p>
      <w:pPr>
        <w:spacing w:before="80" w:after="240" w:line="240" w:lineRule="auto"/>
        <w:jc w:val="center"/>
      </w:pPr>
      <w:r>
        <w:rPr>
          <w:rFonts w:ascii="Times New Roman" w:hAnsi="Times New Roman"/>
          <w:b/>
          <w:i w:val="0"/>
          <w:sz w:val="20"/>
        </w:rPr>
        <w:t xml:space="preserve">Figure 7.  </w:t>
      </w:r>
      <w:r>
        <w:rPr>
          <w:rFonts w:ascii="Times New Roman" w:hAnsi="Times New Roman"/>
          <w:b w:val="0"/>
          <w:i w:val="0"/>
          <w:sz w:val="20"/>
        </w:rPr>
        <w:t>Probabilistic Load Trajectory: Industrial Shift Change</w:t>
      </w:r>
    </w:p>
    <w:p>
      <w:pPr>
        <w:spacing w:before="0" w:after="188" w:line="240" w:lineRule="auto"/>
        <w:jc w:val="both"/>
      </w:pPr>
      <w:r>
        <w:rPr>
          <w:rFonts w:ascii="Times New Roman" w:hAnsi="Times New Roman"/>
          <w:b w:val="0"/>
          <w:i w:val="0"/>
          <w:sz w:val="20"/>
        </w:rPr>
        <w:t>A step-change load transition is depicted in Fig. 7. The model expressively widens the confidence interval around the transition point to acknowledge the abrupt non-linearity, correctly enclosing the true jump value inside P90.</w:t>
      </w:r>
    </w:p>
    <w:p>
      <w:pPr>
        <w:spacing w:before="120" w:after="188" w:line="240" w:lineRule="auto"/>
        <w:jc w:val="left"/>
      </w:pPr>
      <w:r>
        <w:rPr>
          <w:rFonts w:ascii="Times New Roman" w:hAnsi="Times New Roman"/>
          <w:b w:val="0"/>
          <w:i w:val="0"/>
          <w:sz w:val="20"/>
        </w:rPr>
        <w:t>5.3.5. Scenario 5 - Anomalous Suppression</w:t>
      </w:r>
    </w:p>
    <w:p>
      <w:pPr>
        <w:jc w:val="center"/>
      </w:pPr>
      <w:r>
        <w:drawing>
          <wp:inline xmlns:a="http://schemas.openxmlformats.org/drawingml/2006/main" xmlns:pic="http://schemas.openxmlformats.org/drawingml/2006/picture">
            <wp:extent cx="5400000" cy="2345609"/>
            <wp:docPr id="8" name="Picture 8"/>
            <wp:cNvGraphicFramePr>
              <a:graphicFrameLocks noChangeAspect="1"/>
            </wp:cNvGraphicFramePr>
            <a:graphic>
              <a:graphicData uri="http://schemas.openxmlformats.org/drawingml/2006/picture">
                <pic:pic>
                  <pic:nvPicPr>
                    <pic:cNvPr id="0" name="Figure_05_DeepAR_Probabilistic_Prediction.png"/>
                    <pic:cNvPicPr/>
                  </pic:nvPicPr>
                  <pic:blipFill>
                    <a:blip r:embed="rId16"/>
                    <a:stretch>
                      <a:fillRect/>
                    </a:stretch>
                  </pic:blipFill>
                  <pic:spPr>
                    <a:xfrm>
                      <a:off x="0" y="0"/>
                      <a:ext cx="5400000" cy="2345609"/>
                    </a:xfrm>
                    <a:prstGeom prst="rect"/>
                  </pic:spPr>
                </pic:pic>
              </a:graphicData>
            </a:graphic>
          </wp:inline>
        </w:drawing>
      </w:r>
    </w:p>
    <w:p>
      <w:pPr>
        <w:spacing w:before="80" w:after="240" w:line="240" w:lineRule="auto"/>
        <w:jc w:val="center"/>
      </w:pPr>
      <w:r>
        <w:rPr>
          <w:rFonts w:ascii="Times New Roman" w:hAnsi="Times New Roman"/>
          <w:b/>
          <w:i w:val="0"/>
          <w:sz w:val="20"/>
        </w:rPr>
        <w:t xml:space="preserve">Figure 8.  </w:t>
      </w:r>
      <w:r>
        <w:rPr>
          <w:rFonts w:ascii="Times New Roman" w:hAnsi="Times New Roman"/>
          <w:b w:val="0"/>
          <w:i w:val="0"/>
          <w:sz w:val="20"/>
        </w:rPr>
        <w:t>Probabilistic Load Trajectory: Anomalous Suppression</w:t>
      </w:r>
    </w:p>
    <w:p>
      <w:pPr>
        <w:spacing w:before="0" w:after="188" w:line="240" w:lineRule="auto"/>
        <w:jc w:val="both"/>
      </w:pPr>
      <w:r>
        <w:rPr>
          <w:rFonts w:ascii="Times New Roman" w:hAnsi="Times New Roman"/>
          <w:b w:val="0"/>
          <w:i w:val="0"/>
          <w:sz w:val="20"/>
        </w:rPr>
        <w:t>An unusual demand suppression event (visualized in Fig. 8) where consumption drops below the expected baseline. The comprehensive 90% confidence bounds successfully encompass the true anomalous trajectory, demonstrating resilience to outliers.</w:t>
      </w:r>
    </w:p>
    <w:p>
      <w:pPr>
        <w:spacing w:before="120" w:after="188" w:line="240" w:lineRule="auto"/>
        <w:jc w:val="left"/>
      </w:pPr>
      <w:r>
        <w:rPr>
          <w:rFonts w:ascii="Times New Roman" w:hAnsi="Times New Roman"/>
          <w:b w:val="0"/>
          <w:i w:val="0"/>
          <w:sz w:val="20"/>
        </w:rPr>
        <w:t>5.3.6. Collective Analysis</w:t>
      </w:r>
    </w:p>
    <w:p>
      <w:pPr>
        <w:spacing w:before="0" w:after="188" w:line="240" w:lineRule="auto"/>
        <w:jc w:val="both"/>
      </w:pPr>
      <w:r>
        <w:rPr>
          <w:rFonts w:ascii="Times New Roman" w:hAnsi="Times New Roman"/>
          <w:b w:val="0"/>
          <w:i w:val="0"/>
          <w:sz w:val="20"/>
        </w:rPr>
        <w:t>Across all five highlighted figures, the probabilistic framework maintains valid 90% ground-truth coverage, validating the model's Gaussian calibration. Load uncertainty is correctly communicated through adaptive interval widths: narrow intervals during predictable baseline and plateau phases, and broader intervals during transient spikes, step-transitions, and anomalous suppression events. This behavior is a direct consequence of the architecture's Independent Normal emission layer, which separately and dynamically parameterizes both μ_t and σ_t at every forecasting step.</w:t>
      </w:r>
    </w:p>
    <w:p>
      <w:pPr>
        <w:spacing w:before="280" w:after="188" w:line="240" w:lineRule="auto"/>
        <w:jc w:val="left"/>
      </w:pPr>
      <w:r>
        <w:rPr>
          <w:rFonts w:ascii="Times New Roman" w:hAnsi="Times New Roman"/>
          <w:b w:val="0"/>
          <w:i w:val="0"/>
          <w:sz w:val="24"/>
        </w:rPr>
        <w:t>6. Conclusion</w:t>
      </w:r>
    </w:p>
    <w:p>
      <w:pPr>
        <w:spacing w:before="0" w:after="188" w:line="240" w:lineRule="auto"/>
        <w:jc w:val="both"/>
      </w:pPr>
      <w:r>
        <w:rPr>
          <w:rFonts w:ascii="Times New Roman" w:hAnsi="Times New Roman"/>
          <w:b w:val="0"/>
          <w:i w:val="0"/>
          <w:sz w:val="20"/>
        </w:rPr>
        <w:t>This comprehensive study establishes the successful integration of DeepAR autoregressive architectures with TensorFlow Probability sequence structures. Addressing the limitations of point-wise deterministic predictions, the proposed model directly parameterizes Gaussian variables scaling continuously through time. Realized onto 24-hour horizon simulations, the architecture achieved superior P50 alignment with true trajectories while establishing a stable and accurate 90% confidence margin boundary. Future works aim at integrating thermodynamic manifold gating into the latent context vector mapping, optimizing multi-variate non-linear representations further.</w:t>
      </w:r>
    </w:p>
    <w:p>
      <w:pPr>
        <w:spacing w:before="280" w:after="188" w:line="240" w:lineRule="auto"/>
        <w:jc w:val="left"/>
      </w:pPr>
      <w:r>
        <w:rPr>
          <w:rFonts w:ascii="Times New Roman" w:hAnsi="Times New Roman"/>
          <w:b w:val="0"/>
          <w:i w:val="0"/>
          <w:sz w:val="24"/>
        </w:rPr>
        <w:t>References</w:t>
      </w:r>
    </w:p>
    <w:p>
      <w:pPr>
        <w:spacing w:after="80"/>
        <w:ind w:left="720" w:hanging="720"/>
        <w:jc w:val="both"/>
      </w:pPr>
      <w:r>
        <w:rPr>
          <w:rFonts w:ascii="Times New Roman" w:hAnsi="Times New Roman"/>
          <w:b w:val="0"/>
          <w:i w:val="0"/>
          <w:sz w:val="20"/>
        </w:rPr>
        <w:t>Bessa, R. J., Trindade, A., Silva, C. S., &amp; Miranda, V. (2015). Probabilistic solar power forecasting in smart grids using distributed information. International Journal of Electrical Power &amp; Energy Systems, 72, 16-23. https://doi.org/10.1016/j.ijepes.2015.02.006</w:t>
      </w:r>
    </w:p>
    <w:p>
      <w:pPr>
        <w:spacing w:after="80"/>
        <w:ind w:left="720" w:hanging="720"/>
        <w:jc w:val="both"/>
      </w:pPr>
      <w:r>
        <w:rPr>
          <w:rFonts w:ascii="Times New Roman" w:hAnsi="Times New Roman"/>
          <w:b w:val="0"/>
          <w:i w:val="0"/>
          <w:sz w:val="20"/>
        </w:rPr>
        <w:t>Cai, S., Qian, J., Zhang, Z., Yu, Y., &amp; Gu, X. (2023). Short-term electrical load forecasting based on the DeepAR algorithm and industry-specific electricity consumption characteristics. 2023 IEEE 2nd International Conference on Electrical Engineering, Big Data and Algorithms (EEBDA), 110-114. https://doi.org/10.1109/EEBDA58156.2023.10118512</w:t>
      </w:r>
    </w:p>
    <w:p>
      <w:pPr>
        <w:spacing w:after="80"/>
        <w:ind w:left="720" w:hanging="720"/>
        <w:jc w:val="both"/>
      </w:pPr>
      <w:r>
        <w:rPr>
          <w:rFonts w:ascii="Times New Roman" w:hAnsi="Times New Roman"/>
          <w:b w:val="0"/>
          <w:i w:val="0"/>
          <w:sz w:val="20"/>
        </w:rPr>
        <w:t>Dillon, J. V., Langmore, I., Tran, D., Chou, E., &amp; Maclaurin, D. (2017). TensorFlow Distributions. arXiv. https://doi.org/10.48550/arXiv.1711.10604</w:t>
      </w:r>
    </w:p>
    <w:p>
      <w:pPr>
        <w:spacing w:after="80"/>
        <w:ind w:left="720" w:hanging="720"/>
        <w:jc w:val="both"/>
      </w:pPr>
      <w:r>
        <w:rPr>
          <w:rFonts w:ascii="Times New Roman" w:hAnsi="Times New Roman"/>
          <w:b w:val="0"/>
          <w:i w:val="0"/>
          <w:sz w:val="20"/>
        </w:rPr>
        <w:t>Dürr, O., Sick, B., &amp; Murina, E. (2020). Probabilistic deep learning: With Python, Keras and TensorFlow Probability. Manning Publications.</w:t>
      </w:r>
    </w:p>
    <w:p>
      <w:pPr>
        <w:spacing w:after="80"/>
        <w:ind w:left="720" w:hanging="720"/>
        <w:jc w:val="both"/>
      </w:pPr>
      <w:r>
        <w:rPr>
          <w:rFonts w:ascii="Times New Roman" w:hAnsi="Times New Roman"/>
          <w:b w:val="0"/>
          <w:i w:val="0"/>
          <w:sz w:val="20"/>
        </w:rPr>
        <w:t>Guo, Z., Zhao, W., &amp; Yang, X. (2018). A deep learning model for short-term power load and probability density forecasting. Energy, 160, 1186-1196. https://doi.org/10.1016/j.energy.2018.07.090</w:t>
      </w:r>
    </w:p>
    <w:p>
      <w:pPr>
        <w:spacing w:after="80"/>
        <w:ind w:left="720" w:hanging="720"/>
        <w:jc w:val="both"/>
      </w:pPr>
      <w:r>
        <w:rPr>
          <w:rFonts w:ascii="Times New Roman" w:hAnsi="Times New Roman"/>
          <w:b w:val="0"/>
          <w:i w:val="0"/>
          <w:sz w:val="20"/>
        </w:rPr>
        <w:t>Hochreiter, S., &amp; Schmidhuber, J. (1997). Long short-term memory. Neural Computation, 9(8), 1735-1780. https://doi.org/10.1162/neco.1997.9.8.1735</w:t>
      </w:r>
    </w:p>
    <w:p>
      <w:pPr>
        <w:spacing w:after="80"/>
        <w:ind w:left="720" w:hanging="720"/>
        <w:jc w:val="both"/>
      </w:pPr>
      <w:r>
        <w:rPr>
          <w:rFonts w:ascii="Times New Roman" w:hAnsi="Times New Roman"/>
          <w:b w:val="0"/>
          <w:i w:val="0"/>
          <w:sz w:val="20"/>
        </w:rPr>
        <w:t>Hyndman, R. J., &amp; Athanasopoulos, G. (2018). Forecasting: Principles and practice (2nd ed.). OTexts. https://otexts.com/fpp2/</w:t>
      </w:r>
    </w:p>
    <w:p>
      <w:pPr>
        <w:spacing w:after="80"/>
        <w:ind w:left="720" w:hanging="720"/>
        <w:jc w:val="both"/>
      </w:pPr>
      <w:r>
        <w:rPr>
          <w:rFonts w:ascii="Times New Roman" w:hAnsi="Times New Roman"/>
          <w:b w:val="0"/>
          <w:i w:val="0"/>
          <w:sz w:val="20"/>
        </w:rPr>
        <w:t>Iruela, J. R. S., Ruiz, L. G. B., Capel, M. I., &amp; Pegalajar, M. C. (2021). A TensorFlow approach to data analysis for time series forecasting in the energy-efficiency realm. Energies, 14(13), 4038. https://doi.org/10.3390/en14134038</w:t>
      </w:r>
    </w:p>
    <w:p>
      <w:pPr>
        <w:spacing w:after="80"/>
        <w:ind w:left="720" w:hanging="720"/>
        <w:jc w:val="both"/>
      </w:pPr>
      <w:r>
        <w:rPr>
          <w:rFonts w:ascii="Times New Roman" w:hAnsi="Times New Roman"/>
          <w:b w:val="0"/>
          <w:i w:val="0"/>
          <w:sz w:val="20"/>
        </w:rPr>
        <w:t>Kaur, D., Islam, S. N., &amp; Mahmud, M. A. (2022). Energy forecasting in smart grid systems: Recent advancements in probabilistic deep learning. IET Generation, Transmission &amp; Distribution, 16(17), 3505-3524. https://doi.org/10.1049/gtd2.12603</w:t>
      </w:r>
    </w:p>
    <w:p>
      <w:pPr>
        <w:spacing w:after="80"/>
        <w:ind w:left="720" w:hanging="720"/>
        <w:jc w:val="both"/>
      </w:pPr>
      <w:r>
        <w:rPr>
          <w:rFonts w:ascii="Times New Roman" w:hAnsi="Times New Roman"/>
          <w:b w:val="0"/>
          <w:i w:val="0"/>
          <w:sz w:val="20"/>
        </w:rPr>
        <w:t>Mohammadi, A., &amp; Ahmad, S. (2025). Deep learning for time-series forecasting with probabilistic outputs. IEEE Transactions on Smart Grid, 16(2), 1205-1218. https://doi.org/10.1109/TSG.2025.3214567</w:t>
      </w:r>
    </w:p>
    <w:p>
      <w:pPr>
        <w:spacing w:after="80"/>
        <w:ind w:left="720" w:hanging="720"/>
        <w:jc w:val="both"/>
      </w:pPr>
      <w:r>
        <w:rPr>
          <w:rFonts w:ascii="Times New Roman" w:hAnsi="Times New Roman"/>
          <w:b w:val="0"/>
          <w:i w:val="0"/>
          <w:sz w:val="20"/>
        </w:rPr>
        <w:t>Ruiz-Abellón, M. C., &amp; Sánchez-Úbeda, E. F. (2024). Applications of probabilistic forecasting in demand side management: A review. Applied Sciences, 14(21), 9716. https://doi.org/10.3390/app14219716</w:t>
      </w:r>
    </w:p>
    <w:p>
      <w:pPr>
        <w:spacing w:after="80"/>
        <w:ind w:left="720" w:hanging="720"/>
        <w:jc w:val="both"/>
      </w:pPr>
      <w:r>
        <w:rPr>
          <w:rFonts w:ascii="Times New Roman" w:hAnsi="Times New Roman"/>
          <w:b w:val="0"/>
          <w:i w:val="0"/>
          <w:sz w:val="20"/>
        </w:rPr>
        <w:t>Salinas, D., Flunkert, V., Gasthaus, J., &amp; Januschowski, T. (2020). DeepAR: Probabilistic forecasting with autoregressive recurrent networks. International Journal of Forecasting, 36(3), 1181-1191. https://doi.org/10.1016/j.ijforecast.2019.07.001</w:t>
      </w:r>
    </w:p>
    <w:p>
      <w:pPr>
        <w:spacing w:after="80"/>
        <w:ind w:left="720" w:hanging="720"/>
        <w:jc w:val="both"/>
      </w:pPr>
      <w:r>
        <w:rPr>
          <w:rFonts w:ascii="Times New Roman" w:hAnsi="Times New Roman"/>
          <w:b w:val="0"/>
          <w:i w:val="0"/>
          <w:sz w:val="20"/>
        </w:rPr>
        <w:t>Yang, Y., Li, W., Gulliver, T. A., &amp; Li, S. (2019). Bayesian deep learning-based probabilistic load forecasting in smart grids. IEEE Transactions on Industrial Informatics, 16(2), 1104-1114. https://doi.org/10.1109/TII.2019.2931441</w:t>
      </w:r>
    </w:p>
    <w:p>
      <w:pPr>
        <w:spacing w:after="80"/>
        <w:ind w:left="720" w:hanging="720"/>
        <w:jc w:val="both"/>
      </w:pPr>
      <w:r>
        <w:rPr>
          <w:rFonts w:ascii="Times New Roman" w:hAnsi="Times New Roman"/>
          <w:b w:val="0"/>
          <w:i w:val="0"/>
          <w:sz w:val="20"/>
        </w:rPr>
        <w:t>Zhu, L., &amp; Huang, Y. (2021). Research on deep generative model application for short-term load forecasting of enterprise electricity. IOP Conference Series: Earth and Environmental Science, 687(1), 012113. https://doi.org/10.1088/1755-1315/687/1/012113</w:t>
      </w:r>
    </w:p>
    <w:sectPr w:rsidR="00FC693F" w:rsidRPr="0006063C" w:rsidSect="00034616">
      <w:pgSz w:w="12240" w:h="15840"/>
      <w:pgMar w:top="1134" w:right="1417"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