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Javadoc: Factorial</w:t>
      </w:r>
    </w:p>
    <w:p/>
    <w:p>
      <w:r>
        <w:t xml:space="preserve">Calcula el factorial de un número entero positivo.</w:t>
      </w:r>
    </w:p>
    <w:p/>
    <w:p>
      <w:r>
        <w:t xml:space="preserve">Parámetro: int number: entero positivo del que se desea calcular el factorial.</w:t>
      </w:r>
    </w:p>
    <w:p>
      <w:r>
        <w:t xml:space="preserve">Valor de retorno: BigInteger: factorial de number como un entero de precisión arbitraria.</w:t>
      </w:r>
    </w:p>
    <w:p>
      <w:r>
        <w:t xml:space="preserve">Excepción: IllegalArgumentException: se lanza si number no es positivo.</w:t>
      </w:r>
    </w:p>
    <w:sectPr>
      <w:pgSz w:w="12240" w:h="15840"/>
      <w:pgMar w:top="1440" w:right="1440" w:bottom="1440" w:left="1440"/>
    </w:sectPr>
  </w:body>
</w:document>
</file>