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ind w:hanging="0" w:start="0" w:end="0"/>
        <w:jc w:val="center"/>
        <w:rPr>
          <w:rFonts w:ascii="IosevkaTerm NF" w:hAnsi="IosevkaTerm NF"/>
          <w:color w:val="C9211E"/>
          <w:sz w:val="26"/>
          <w:szCs w:val="26"/>
        </w:rPr>
      </w:pPr>
      <w:r>
        <w:rPr>
          <w:rFonts w:ascii="IosevkaTerm NF" w:hAnsi="IosevkaTerm NF"/>
          <w:color w:val="C9211E"/>
          <w:sz w:val="26"/>
          <w:szCs w:val="26"/>
        </w:rPr>
        <w:t>USER-STORIES DU PROJET SIMBA_CTD</w:t>
      </w:r>
    </w:p>
    <w:p>
      <w:pPr>
        <w:pStyle w:val="BodyText"/>
        <w:bidi w:val="0"/>
        <w:spacing w:lineRule="auto" w:line="273" w:before="0" w:after="140"/>
        <w:ind w:hanging="0" w:start="0" w:end="0"/>
        <w:jc w:val="center"/>
        <w:rPr>
          <w:rFonts w:ascii="IosevkaTerm NF" w:hAnsi="IosevkaTerm NF"/>
          <w:sz w:val="26"/>
          <w:szCs w:val="26"/>
        </w:rPr>
      </w:pPr>
      <w:r>
        <w:rPr>
          <w:rFonts w:ascii="IosevkaTerm NF" w:hAnsi="IosevkaTerm NF"/>
          <w:sz w:val="26"/>
          <w:szCs w:val="26"/>
        </w:rPr>
      </w:r>
    </w:p>
    <w:tbl>
      <w:tblPr>
        <w:tblW w:w="10200" w:type="dxa"/>
        <w:jc w:val="start"/>
        <w:tblInd w:w="-279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60"/>
        <w:gridCol w:w="1290"/>
        <w:gridCol w:w="1170"/>
        <w:gridCol w:w="2040"/>
        <w:gridCol w:w="1500"/>
        <w:gridCol w:w="1950"/>
        <w:gridCol w:w="1290"/>
      </w:tblGrid>
      <w:tr>
        <w:trPr>
          <w:tblHeader w:val="true"/>
          <w:trHeight w:val="1140" w:hRule="atLeast"/>
        </w:trPr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ID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MODULE/ÉPIQUE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RÔLE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USER-STORIES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OBJECTIF</w:t>
            </w:r>
            <w:r>
              <w:rPr>
                <w:rStyle w:val="Strong"/>
                <w:rFonts w:ascii="IosevkaTerm NF" w:hAnsi="IosevkaTerm NF"/>
                <w:sz w:val="22"/>
                <w:szCs w:val="22"/>
              </w:rPr>
              <w:t>S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CRITÈRES D’ACCEPTATION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PRIORITÉ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US-01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Authentification (Keycloak)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Ordonnateur / Receveur / Régisseur / Admin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qu’utilisateur de la CTD, je veux pouvoir me connecter via le portail unique (SSO Keycloak) avec mes identifiants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widowControl w:val="false"/>
              <w:suppressLineNumbers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Accéder à mon espace de travail financier de manière sécurisée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Redirection vers la page de connexion Keycloak.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Message d’erreur clair en cas d’identifiants incorrects.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Redirection automatique vers le dashboard correspondant au rôle (JWT/OIDC).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US-02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Administration IAM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Administrateur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qu’administrateur système, je veux pouvoir attribuer des rôles métiers (Ordonnateur, Receveur, Régisseur, Contrôleur) aux agents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Assurer la séparation des pouvoirs et respecter la réglementation budgétaire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Interface d'affectation des rôles intégrée.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Modification des droits prise en compte au prochain jeton JWT émis.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Impossibilité pour un utilisateur de cumuler des rôles incompatibles (ex: Ordonnateur + Receveur).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US-03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Engagement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widowControl w:val="false"/>
              <w:suppressLineNumbers/>
              <w:bidi w:val="0"/>
              <w:spacing w:lineRule="auto" w:line="273" w:before="0" w:after="140"/>
              <w:ind w:hanging="0" w:start="57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Ordonnateur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qu’ordonnateur, je veux pouvoir créer une demande d’engagement budgétaire avec pièces justificatives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Réserver les crédits nécessaires avant toute commande publique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Formulaire de saisie du montant, imputation budgétaire et tiers/fournisseur.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Upload des pièces justificatives au format PDF sur MinIO.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Déclenchement automatique de l'instance de workflow dans Camunda (Zeebe).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US-04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Liquidation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Chef de Service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que chef de service, je veux pouvoir valider l'attestation de service fait pour une dépense engagée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Certifier la réalisation effective de la prestation avant liquidation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Notification dans la file de tâches du chef de service.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Possibilité de joindre le PV de réception ou le bon de livraison.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Validation faisant passer la tâche Camunda à l'étape "Liquidation".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US-05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Liquidation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Agent Liquidateur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qu’agent liquidateur, je veux pouvoir arrêter le montant exact de la dette de la CTD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Calculer et fixer le droit de créance définitif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Vérification automatique de non-dépassement par rapport à l'engagement.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Saisie du décompte final et génération du titre de créance stocké dans PostgreSQL.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US-06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Mandatement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Ordonnateur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qu’ordonnateur, je veux pouvoir émettre et signer un mandat de paiement pour un dossier liquidé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Donner l'ordre légal au Receveur Municipal de payer le créancier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Contrôle automatique de la disponibilité des crédits budgétaires.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Génération automatique du document PDF du mandat envoyé sur MinIO.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 xml:space="preserve">- Émission d'un événement </w:t>
            </w:r>
            <w:r>
              <w:rPr>
                <w:rStyle w:val="Textesource"/>
                <w:rFonts w:ascii="IosevkaTerm NF" w:hAnsi="IosevkaTerm NF"/>
                <w:sz w:val="22"/>
                <w:szCs w:val="22"/>
              </w:rPr>
              <w:t>MandatCreeEvent</w:t>
            </w:r>
            <w:r>
              <w:rPr>
                <w:rFonts w:ascii="IosevkaTerm NF" w:hAnsi="IosevkaTerm NF"/>
                <w:sz w:val="22"/>
                <w:szCs w:val="22"/>
              </w:rPr>
              <w:t xml:space="preserve"> dans RabbitMQ.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US-07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Signature Électronique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Ordonnateur / Cosignataire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qu’ordonnateur ou cosignataire désigné, je veux signer numériquement les mandats via certificat PKI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Garantir la valeur légale, l'intégrité et la non-répudiation des actes financiers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Appel du microservice DSS (Digital Signature Service).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Apposition d'une signature PAdES et d'un tampon visuel sur le PDF.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Horodatage certifié du document.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US-08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Contrôle Financier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Contrôleur Financier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que contrôleur financier, je veux apposer mon visa (accord ou refus motivé) sur les engagements et mandats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Assurer le contrôle a priori de la légalité et de la régularité budgétaire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Interface dédiée de revue des pièces justificatives.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Boutons "Viser" ou "Rejeter avec motif".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Redirection automatique du workflow Camunda vers l'étape précédente en cas de rejet.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SHOULD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US-09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Régie d'Avances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Régisseur d'Avance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que régisseur d'avance, je veux enregistrer une dépense directe payée sur la caisse d'avance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Régulariser rapidement les petites dépenses courantes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Contrôle dynamique du solde et du plafond de l'avance autorisée.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Enregistrement immédiat dans le journal des pièces de régie.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US-10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Régie d'Avances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Ordonnateur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qu’ordonnateur, je veux émettre un mandat de régularisation pour les dépenses du régisseur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Reconstituer la caisse d'avance du régisseur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Regroupement automatique des pièces justificatives saisies par le régisseur.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Génération du mandat de régularisation associé.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SHOULD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US-11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Recouvrement &amp; Paiement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Receveur Municipal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que receveur municipal, je veux prendre en charge et exécuter le paiement d'un mandat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Éteindre la dette de la CTD vis-à-vis du fournisseur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Contrôle de conformité de la chaîne de dépense et des pièces associées.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Saisie de la référence de règlement (ordre de virement / chèque).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Clôture définitive du processus dans Camunda Zeebe.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MUST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US-12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Recherche &amp; Audit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Agent / Auditeur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qu’utilisateur autorisé, je veux pouvoir rechercher un dossier par numéro, tiers, imputation ou période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Suivre l'état d'avancement d'un dossier en temps réel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Recherche globale multi-critères propulsée par OpenSearch.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Temps de réponse inférieur à 200 ms.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Historique d'audit complet de toutes les actions réalisées sur le dossier.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SHOULD</w:t>
            </w:r>
          </w:p>
        </w:tc>
      </w:tr>
      <w:tr>
        <w:trPr/>
        <w:tc>
          <w:tcPr>
            <w:tcW w:w="9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shd w:fill="C9211E" w:val="clea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US-13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Tableau de bord (KPI)</w:t>
            </w:r>
          </w:p>
        </w:tc>
        <w:tc>
          <w:tcPr>
            <w:tcW w:w="11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Ordonnateur / Administrateur</w:t>
            </w:r>
          </w:p>
        </w:tc>
        <w:tc>
          <w:tcPr>
            <w:tcW w:w="20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En tant qu’ordonnateur, je veux consulter les indicateurs clés d'exécution budgétaire</w:t>
            </w:r>
          </w:p>
        </w:tc>
        <w:tc>
          <w:tcPr>
            <w:tcW w:w="15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Piloter les dépenses de la collectivité et surveiller les consommations de crédits</w:t>
            </w:r>
          </w:p>
        </w:tc>
        <w:tc>
          <w:tcPr>
            <w:tcW w:w="19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Affichage du taux d'engagement, du taux de liquidation et du délai moyen de paiement.</w:t>
            </w:r>
          </w:p>
          <w:p>
            <w:pPr>
              <w:pStyle w:val="Contenudetableau"/>
              <w:bidi w:val="0"/>
              <w:spacing w:lineRule="auto" w:line="273" w:before="0" w:after="14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>
                <w:rFonts w:eastAsia="Google Sans Text;sans-serif" w:cs="Google Sans Text;sans-serif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- Graphiques de répartition des dépenses par chapitre budgétaire.</w:t>
            </w:r>
          </w:p>
        </w:tc>
        <w:tc>
          <w:tcPr>
            <w:tcW w:w="12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COULD</w:t>
            </w:r>
          </w:p>
        </w:tc>
      </w:tr>
    </w:tbl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color w:val="C9211E"/>
          <w:sz w:val="22"/>
          <w:szCs w:val="22"/>
        </w:rPr>
      </w:pPr>
      <w:r>
        <w:rPr>
          <w:rFonts w:ascii="IosevkaTerm NF" w:hAnsi="IosevkaTerm NF"/>
          <w:color w:val="C9211E"/>
          <w:sz w:val="22"/>
          <w:szCs w:val="22"/>
        </w:rPr>
        <w:t>Légende des priorités (Méthode MoSCoW) 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b/>
          <w:sz w:val="22"/>
          <w:szCs w:val="22"/>
        </w:rPr>
        <w:t>Must</w:t>
      </w:r>
      <w:r>
        <w:rPr>
          <w:rFonts w:ascii="IosevkaTerm NF" w:hAnsi="IosevkaTerm NF"/>
          <w:sz w:val="22"/>
          <w:szCs w:val="22"/>
        </w:rPr>
        <w:t xml:space="preserve"> : Indispensable pour le lancement (MVP).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b/>
          <w:sz w:val="22"/>
          <w:szCs w:val="22"/>
        </w:rPr>
        <w:t>Should</w:t>
      </w:r>
      <w:r>
        <w:rPr>
          <w:rFonts w:ascii="IosevkaTerm NF" w:hAnsi="IosevkaTerm NF"/>
          <w:sz w:val="22"/>
          <w:szCs w:val="22"/>
        </w:rPr>
        <w:t xml:space="preserve"> : Très important, apporte une forte valeur ajoutée.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b/>
          <w:sz w:val="22"/>
          <w:szCs w:val="22"/>
        </w:rPr>
        <w:t>Could</w:t>
      </w:r>
      <w:r>
        <w:rPr>
          <w:rFonts w:ascii="IosevkaTerm NF" w:hAnsi="IosevkaTerm NF"/>
          <w:sz w:val="22"/>
          <w:szCs w:val="22"/>
        </w:rPr>
        <w:t xml:space="preserve"> : Secondaire ou de confort (à faire si le temps le permet).</w:t>
      </w:r>
    </w:p>
    <w:p>
      <w:pPr>
        <w:pStyle w:val="Heading1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color w:val="C9211E"/>
          <w:sz w:val="22"/>
          <w:szCs w:val="22"/>
        </w:rPr>
      </w:pPr>
      <w:r>
        <w:rPr>
          <w:rFonts w:ascii="IosevkaTerm NF" w:hAnsi="IosevkaTerm NF"/>
          <w:color w:val="C9211E"/>
          <w:sz w:val="22"/>
          <w:szCs w:val="22"/>
        </w:rPr>
        <w:t>BACKLOG PRODUIT DU PROJET SIMBA_CTD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  <w:t>Ce projet se déroulera en quatre (04) sprints, notamment 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IosevkaTerm NF" w:hAnsi="IosevkaTerm NF"/>
          <w:b/>
          <w:sz w:val="22"/>
          <w:szCs w:val="22"/>
        </w:rPr>
      </w:pPr>
      <w:r>
        <w:rPr>
          <w:rFonts w:ascii="IosevkaTerm NF" w:hAnsi="IosevkaTerm NF"/>
          <w:b/>
          <w:sz w:val="22"/>
          <w:szCs w:val="22"/>
        </w:rPr>
        <w:t>SPRINT 1 : Socle Technique, Authentification &amp; Workflow (16 SP)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IosevkaTerm NF" w:hAnsi="IosevkaTerm NF"/>
          <w:b/>
          <w:sz w:val="22"/>
          <w:szCs w:val="22"/>
        </w:rPr>
      </w:pPr>
      <w:r>
        <w:rPr>
          <w:rFonts w:ascii="IosevkaTerm NF" w:hAnsi="IosevkaTerm NF"/>
          <w:b/>
          <w:sz w:val="22"/>
          <w:szCs w:val="22"/>
        </w:rPr>
        <w:t>SPRINT 2 : Chaîne de Dépense - Engagement &amp; Liquidation (21 SP)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IosevkaTerm NF" w:hAnsi="IosevkaTerm NF"/>
          <w:b/>
          <w:sz w:val="22"/>
          <w:szCs w:val="22"/>
        </w:rPr>
      </w:pPr>
      <w:r>
        <w:rPr>
          <w:rFonts w:ascii="IosevkaTerm NF" w:hAnsi="IosevkaTerm NF"/>
          <w:b/>
          <w:sz w:val="22"/>
          <w:szCs w:val="22"/>
        </w:rPr>
        <w:t>SPRINT 3 : Mandatement, Signature PKI &amp; Régie (18 SP)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IosevkaTerm NF" w:hAnsi="IosevkaTerm NF"/>
          <w:b/>
          <w:sz w:val="22"/>
          <w:szCs w:val="22"/>
        </w:rPr>
      </w:pPr>
      <w:r>
        <w:rPr>
          <w:rFonts w:ascii="IosevkaTerm NF" w:hAnsi="IosevkaTerm NF"/>
          <w:b/>
          <w:sz w:val="22"/>
          <w:szCs w:val="22"/>
        </w:rPr>
        <w:t>SPRINT 4 : Paiement, Recherche OpenSearch &amp; Reporting (16 SP)</w:t>
      </w:r>
    </w:p>
    <w:p>
      <w:pPr>
        <w:pStyle w:val="Heading2"/>
        <w:bidi w:val="0"/>
        <w:spacing w:lineRule="auto" w:line="273" w:before="0" w:after="140"/>
        <w:ind w:hanging="0" w:start="0" w:end="0"/>
        <w:jc w:val="center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center"/>
        <w:rPr>
          <w:rFonts w:ascii="IosevkaTerm NF" w:hAnsi="IosevkaTerm NF"/>
          <w:color w:val="C9211E"/>
          <w:sz w:val="22"/>
          <w:szCs w:val="22"/>
        </w:rPr>
      </w:pPr>
      <w:r>
        <w:rPr>
          <w:rFonts w:ascii="IosevkaTerm NF" w:hAnsi="IosevkaTerm NF"/>
          <w:color w:val="C9211E"/>
          <w:sz w:val="22"/>
          <w:szCs w:val="22"/>
        </w:rPr>
        <w:t>BACKLOG PRODUIT DÉTAILLÉ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color w:val="C9211E"/>
          <w:sz w:val="22"/>
          <w:szCs w:val="22"/>
        </w:rPr>
      </w:pPr>
      <w:r>
        <w:rPr>
          <w:rFonts w:ascii="IosevkaTerm NF" w:hAnsi="IosevkaTerm NF"/>
          <w:color w:val="C9211E"/>
          <w:sz w:val="22"/>
          <w:szCs w:val="22"/>
        </w:rPr>
        <w:tab/>
        <w:t>SPRINT 1 : Socle Technique, Authentification &amp; Workflow (MVP Base)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b/>
          <w:sz w:val="22"/>
          <w:szCs w:val="22"/>
        </w:rPr>
        <w:t>Objectif :</w:t>
      </w:r>
      <w:r>
        <w:rPr>
          <w:rFonts w:ascii="IosevkaTerm NF" w:hAnsi="IosevkaTerm NF"/>
          <w:sz w:val="22"/>
          <w:szCs w:val="22"/>
        </w:rPr>
        <w:t xml:space="preserve"> Mettre en place l'infrastructure microservices, l'authentification Keycloak, la gestion des rôles et l'initialisation du moteur de workflow Camunda Zeebe.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750"/>
        <w:gridCol w:w="2905"/>
        <w:gridCol w:w="1016"/>
        <w:gridCol w:w="1804"/>
        <w:gridCol w:w="1401"/>
        <w:gridCol w:w="1762"/>
      </w:tblGrid>
      <w:tr>
        <w:trPr>
          <w:tblHeader w:val="true"/>
        </w:trPr>
        <w:tc>
          <w:tcPr>
            <w:tcW w:w="7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ID (US)</w:t>
            </w:r>
          </w:p>
        </w:tc>
        <w:tc>
          <w:tcPr>
            <w:tcW w:w="29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Intitulé du User-Story</w:t>
            </w:r>
          </w:p>
        </w:tc>
        <w:tc>
          <w:tcPr>
            <w:tcW w:w="10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Priorité</w:t>
            </w:r>
          </w:p>
        </w:tc>
        <w:tc>
          <w:tcPr>
            <w:tcW w:w="18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Rôle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Estimation</w:t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Dépendances</w:t>
            </w:r>
          </w:p>
        </w:tc>
      </w:tr>
      <w:tr>
        <w:trPr/>
        <w:tc>
          <w:tcPr>
            <w:tcW w:w="7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US-01</w:t>
            </w:r>
          </w:p>
        </w:tc>
        <w:tc>
          <w:tcPr>
            <w:tcW w:w="29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Connexion sécurisée SSO (Keycloak / OAuth2)</w:t>
            </w:r>
          </w:p>
        </w:tc>
        <w:tc>
          <w:tcPr>
            <w:tcW w:w="10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8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Tous les rôles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Aucune</w:t>
            </w:r>
          </w:p>
        </w:tc>
      </w:tr>
      <w:tr>
        <w:trPr/>
        <w:tc>
          <w:tcPr>
            <w:tcW w:w="7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US-02</w:t>
            </w:r>
          </w:p>
        </w:tc>
        <w:tc>
          <w:tcPr>
            <w:tcW w:w="29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Administration IAM &amp; Attribution des Rôles</w:t>
            </w:r>
          </w:p>
        </w:tc>
        <w:tc>
          <w:tcPr>
            <w:tcW w:w="10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8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Administrateur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US-01</w:t>
            </w:r>
          </w:p>
        </w:tc>
      </w:tr>
      <w:tr>
        <w:trPr/>
        <w:tc>
          <w:tcPr>
            <w:tcW w:w="7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NFR-01</w:t>
            </w:r>
          </w:p>
        </w:tc>
        <w:tc>
          <w:tcPr>
            <w:tcW w:w="29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Configuration Spring Cloud Gateway, Postgres &amp; Flyway</w:t>
            </w:r>
          </w:p>
        </w:tc>
        <w:tc>
          <w:tcPr>
            <w:tcW w:w="10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8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Système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Aucune</w:t>
            </w:r>
          </w:p>
        </w:tc>
      </w:tr>
      <w:tr>
        <w:trPr/>
        <w:tc>
          <w:tcPr>
            <w:tcW w:w="7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NFR-02</w:t>
            </w:r>
          </w:p>
        </w:tc>
        <w:tc>
          <w:tcPr>
            <w:tcW w:w="29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Intégration du Moteur BPMN Camunda (Zeebe)</w:t>
            </w:r>
          </w:p>
        </w:tc>
        <w:tc>
          <w:tcPr>
            <w:tcW w:w="10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8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Système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Aucune</w:t>
            </w:r>
          </w:p>
        </w:tc>
      </w:tr>
    </w:tbl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  <w:tab/>
      </w:r>
      <w:r>
        <w:rPr>
          <w:rFonts w:ascii="IosevkaTerm NF" w:hAnsi="IosevkaTerm NF"/>
          <w:color w:val="C9211E"/>
          <w:sz w:val="22"/>
          <w:szCs w:val="22"/>
        </w:rPr>
        <w:t>SPRINT 2 : Chaîne de Dépense - Engagement &amp; Liquidation (Cœur Métier)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b/>
          <w:color w:val="C9211E"/>
          <w:sz w:val="22"/>
          <w:szCs w:val="22"/>
        </w:rPr>
        <w:t>Objectif</w:t>
      </w:r>
      <w:r>
        <w:rPr>
          <w:rFonts w:ascii="IosevkaTerm NF" w:hAnsi="IosevkaTerm NF"/>
          <w:b/>
          <w:sz w:val="22"/>
          <w:szCs w:val="22"/>
        </w:rPr>
        <w:t xml:space="preserve"> :</w:t>
      </w:r>
      <w:r>
        <w:rPr>
          <w:rFonts w:ascii="IosevkaTerm NF" w:hAnsi="IosevkaTerm NF"/>
          <w:sz w:val="22"/>
          <w:szCs w:val="22"/>
        </w:rPr>
        <w:t xml:space="preserve"> Permettre l'engagement de la dépense, le téléversement des pièces justificatives sur MinIO et le processus de liquidation/service fait.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625"/>
        <w:gridCol w:w="2971"/>
        <w:gridCol w:w="1079"/>
        <w:gridCol w:w="1800"/>
        <w:gridCol w:w="1401"/>
        <w:gridCol w:w="1762"/>
      </w:tblGrid>
      <w:tr>
        <w:trPr>
          <w:tblHeader w:val="true"/>
        </w:trPr>
        <w:tc>
          <w:tcPr>
            <w:tcW w:w="6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ID (US)</w:t>
            </w:r>
          </w:p>
        </w:tc>
        <w:tc>
          <w:tcPr>
            <w:tcW w:w="29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Intitulé du User-Story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Priorité</w:t>
            </w:r>
          </w:p>
        </w:tc>
        <w:tc>
          <w:tcPr>
            <w:tcW w:w="18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Rôle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Estimation</w:t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Dépendances</w:t>
            </w:r>
          </w:p>
        </w:tc>
      </w:tr>
      <w:tr>
        <w:trPr/>
        <w:tc>
          <w:tcPr>
            <w:tcW w:w="6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US-03</w:t>
            </w:r>
          </w:p>
        </w:tc>
        <w:tc>
          <w:tcPr>
            <w:tcW w:w="29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Création d'une demande d'engagement + Upload MinIO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8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Ordonnateur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Sprint 1</w:t>
            </w:r>
          </w:p>
        </w:tc>
      </w:tr>
      <w:tr>
        <w:trPr/>
        <w:tc>
          <w:tcPr>
            <w:tcW w:w="6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US-04</w:t>
            </w:r>
          </w:p>
        </w:tc>
        <w:tc>
          <w:tcPr>
            <w:tcW w:w="29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Attestation de Service Fait (Chef de service)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8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Chef de Service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US-03</w:t>
            </w:r>
          </w:p>
        </w:tc>
      </w:tr>
      <w:tr>
        <w:trPr/>
        <w:tc>
          <w:tcPr>
            <w:tcW w:w="6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US-05</w:t>
            </w:r>
          </w:p>
        </w:tc>
        <w:tc>
          <w:tcPr>
            <w:tcW w:w="29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Liquidation de la dépense &amp; Titre de créance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8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Agent Liquidateur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US-04</w:t>
            </w:r>
          </w:p>
        </w:tc>
      </w:tr>
      <w:tr>
        <w:trPr/>
        <w:tc>
          <w:tcPr>
            <w:tcW w:w="6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US-08</w:t>
            </w:r>
          </w:p>
        </w:tc>
        <w:tc>
          <w:tcPr>
            <w:tcW w:w="29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Visa du Contrôleur Financier (Circuit a priori)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SHOULD</w:t>
            </w:r>
          </w:p>
        </w:tc>
        <w:tc>
          <w:tcPr>
            <w:tcW w:w="18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Contrôleur Financier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US-03, US-05</w:t>
            </w:r>
          </w:p>
        </w:tc>
      </w:tr>
    </w:tbl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color w:val="C9211E"/>
          <w:sz w:val="22"/>
          <w:szCs w:val="22"/>
        </w:rPr>
      </w:pPr>
      <w:r>
        <w:rPr>
          <w:rFonts w:ascii="IosevkaTerm NF" w:hAnsi="IosevkaTerm NF"/>
          <w:color w:val="C9211E"/>
          <w:sz w:val="22"/>
          <w:szCs w:val="22"/>
        </w:rPr>
        <w:tab/>
        <w:t>SPRINT 3 : Mandatement, Signature PKI &amp; Régie (Sécurité &amp; Exécution)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b/>
          <w:color w:val="auto"/>
          <w:sz w:val="22"/>
          <w:szCs w:val="22"/>
        </w:rPr>
        <w:t>Objectif</w:t>
      </w:r>
      <w:r>
        <w:rPr>
          <w:rFonts w:ascii="IosevkaTerm NF" w:hAnsi="IosevkaTerm NF"/>
          <w:b/>
          <w:sz w:val="22"/>
          <w:szCs w:val="22"/>
        </w:rPr>
        <w:t xml:space="preserve"> :</w:t>
      </w:r>
      <w:r>
        <w:rPr>
          <w:rFonts w:ascii="IosevkaTerm NF" w:hAnsi="IosevkaTerm NF"/>
          <w:sz w:val="22"/>
          <w:szCs w:val="22"/>
        </w:rPr>
        <w:t xml:space="preserve"> Gérer l'ordonnancement, la signature électronique PAdES via DSS/PKI et la gestion des dépenses de régie d'avances.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601"/>
        <w:gridCol w:w="2802"/>
        <w:gridCol w:w="1079"/>
        <w:gridCol w:w="1993"/>
        <w:gridCol w:w="1401"/>
        <w:gridCol w:w="1762"/>
      </w:tblGrid>
      <w:tr>
        <w:trPr>
          <w:tblHeader w:val="true"/>
        </w:trPr>
        <w:tc>
          <w:tcPr>
            <w:tcW w:w="6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ID (US)</w:t>
            </w:r>
          </w:p>
        </w:tc>
        <w:tc>
          <w:tcPr>
            <w:tcW w:w="28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Intitulé du User-Story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Priorité</w:t>
            </w:r>
          </w:p>
        </w:tc>
        <w:tc>
          <w:tcPr>
            <w:tcW w:w="19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Rôle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Estimation</w:t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Dépendances</w:t>
            </w:r>
          </w:p>
        </w:tc>
      </w:tr>
      <w:tr>
        <w:trPr/>
        <w:tc>
          <w:tcPr>
            <w:tcW w:w="6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US-06</w:t>
            </w:r>
          </w:p>
        </w:tc>
        <w:tc>
          <w:tcPr>
            <w:tcW w:w="28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Émission du Mandat de Paiement PDF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9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Ordonnateur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Sprint 2</w:t>
            </w:r>
          </w:p>
        </w:tc>
      </w:tr>
      <w:tr>
        <w:trPr/>
        <w:tc>
          <w:tcPr>
            <w:tcW w:w="6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US-07</w:t>
            </w:r>
          </w:p>
        </w:tc>
        <w:tc>
          <w:tcPr>
            <w:tcW w:w="28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Signature Électronique du Mandat (PKI / DSS)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9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Ordonnateur / Cosignataire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US-06</w:t>
            </w:r>
          </w:p>
        </w:tc>
      </w:tr>
      <w:tr>
        <w:trPr/>
        <w:tc>
          <w:tcPr>
            <w:tcW w:w="6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US-09</w:t>
            </w:r>
          </w:p>
        </w:tc>
        <w:tc>
          <w:tcPr>
            <w:tcW w:w="28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Saisie des dépense directes sur Régie d'Avances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9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Régisseur d'Avance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Sprint 1</w:t>
            </w:r>
          </w:p>
        </w:tc>
      </w:tr>
      <w:tr>
        <w:trPr/>
        <w:tc>
          <w:tcPr>
            <w:tcW w:w="6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US-10</w:t>
            </w:r>
          </w:p>
        </w:tc>
        <w:tc>
          <w:tcPr>
            <w:tcW w:w="28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Ordonnancement du Mandat de Régularisation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SHOULD</w:t>
            </w:r>
          </w:p>
        </w:tc>
        <w:tc>
          <w:tcPr>
            <w:tcW w:w="19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Ordonnateur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US-09, US-06</w:t>
            </w:r>
          </w:p>
        </w:tc>
      </w:tr>
    </w:tbl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  <w:tab/>
      </w:r>
      <w:r>
        <w:rPr>
          <w:rFonts w:ascii="IosevkaTerm NF" w:hAnsi="IosevkaTerm NF"/>
          <w:i w:val="false"/>
          <w:iCs w:val="false"/>
          <w:color w:val="C9211E"/>
          <w:sz w:val="22"/>
          <w:szCs w:val="22"/>
        </w:rPr>
        <w:t>SPRINT 4 : Paiement, Recherche OpenSearch &amp; Reporting (Clôture &amp; Polissage)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b/>
          <w:sz w:val="22"/>
          <w:szCs w:val="22"/>
        </w:rPr>
        <w:t>Objectif :</w:t>
      </w:r>
      <w:r>
        <w:rPr>
          <w:rFonts w:ascii="IosevkaTerm NF" w:hAnsi="IosevkaTerm NF"/>
          <w:sz w:val="22"/>
          <w:szCs w:val="22"/>
        </w:rPr>
        <w:t xml:space="preserve"> Finaliser le paiement par le Receveur Municipal, intégrer la recherche rapide OpenSearch et afficher les indicateurs clés.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726"/>
        <w:gridCol w:w="2889"/>
        <w:gridCol w:w="1079"/>
        <w:gridCol w:w="1731"/>
        <w:gridCol w:w="1401"/>
        <w:gridCol w:w="1812"/>
      </w:tblGrid>
      <w:tr>
        <w:trPr>
          <w:tblHeader w:val="true"/>
        </w:trPr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ID (US)</w:t>
            </w:r>
          </w:p>
        </w:tc>
        <w:tc>
          <w:tcPr>
            <w:tcW w:w="28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Intitulé du User-Story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Priorité</w:t>
            </w:r>
          </w:p>
        </w:tc>
        <w:tc>
          <w:tcPr>
            <w:tcW w:w="173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Rôle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Estimation</w:t>
            </w:r>
          </w:p>
        </w:tc>
        <w:tc>
          <w:tcPr>
            <w:tcW w:w="18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osevkaTerm NF" w:hAnsi="IosevkaTerm NF"/>
                <w:sz w:val="22"/>
                <w:szCs w:val="22"/>
              </w:rPr>
              <w:t>Dépendances</w:t>
            </w:r>
          </w:p>
        </w:tc>
      </w:tr>
      <w:tr>
        <w:trPr/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US-11</w:t>
            </w:r>
          </w:p>
        </w:tc>
        <w:tc>
          <w:tcPr>
            <w:tcW w:w="28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Prise en charge et Paiement du Mandat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73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Receveur Municipal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8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Sprint 3</w:t>
            </w:r>
          </w:p>
        </w:tc>
      </w:tr>
      <w:tr>
        <w:trPr/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US-12</w:t>
            </w:r>
          </w:p>
        </w:tc>
        <w:tc>
          <w:tcPr>
            <w:tcW w:w="28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Indexation &amp; Recherche Multi-critères (OpenSearch)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SHOULD</w:t>
            </w:r>
          </w:p>
        </w:tc>
        <w:tc>
          <w:tcPr>
            <w:tcW w:w="173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Agent / Auditeur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8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US-11, RabbitMQ</w:t>
            </w:r>
          </w:p>
        </w:tc>
      </w:tr>
      <w:tr>
        <w:trPr/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US-13</w:t>
            </w:r>
          </w:p>
        </w:tc>
        <w:tc>
          <w:tcPr>
            <w:tcW w:w="28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Tableau de bord Admin avec indicateurs KPI clés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COULD</w:t>
            </w:r>
          </w:p>
        </w:tc>
        <w:tc>
          <w:tcPr>
            <w:tcW w:w="173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Ordonnateur / Admin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8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Sprint 2, Sprint 3</w:t>
            </w:r>
          </w:p>
        </w:tc>
      </w:tr>
      <w:tr>
        <w:trPr/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b/>
                <w:sz w:val="22"/>
                <w:szCs w:val="22"/>
              </w:rPr>
            </w:pPr>
            <w:r>
              <w:rPr>
                <w:rFonts w:ascii="IosevkaTerm NF" w:hAnsi="IosevkaTerm NF"/>
                <w:b/>
                <w:sz w:val="22"/>
                <w:szCs w:val="22"/>
              </w:rPr>
              <w:t>NFR-03</w:t>
            </w:r>
          </w:p>
        </w:tc>
        <w:tc>
          <w:tcPr>
            <w:tcW w:w="28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Non-Fonctionnelle : Adaptation Responsive &amp; Correctifs UI</w:t>
            </w:r>
          </w:p>
        </w:tc>
        <w:tc>
          <w:tcPr>
            <w:tcW w:w="10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MUST</w:t>
            </w:r>
          </w:p>
        </w:tc>
        <w:tc>
          <w:tcPr>
            <w:tcW w:w="173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Équipe</w:t>
            </w:r>
          </w:p>
        </w:tc>
        <w:tc>
          <w:tcPr>
            <w:tcW w:w="14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</w:r>
          </w:p>
        </w:tc>
        <w:tc>
          <w:tcPr>
            <w:tcW w:w="18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detableau"/>
              <w:bidi w:val="0"/>
              <w:spacing w:lineRule="auto" w:line="273" w:before="0" w:after="140"/>
              <w:ind w:hanging="0" w:start="0" w:end="0"/>
              <w:jc w:val="start"/>
              <w:rPr>
                <w:rFonts w:ascii="IosevkaTerm NF" w:hAnsi="IosevkaTerm NF"/>
                <w:sz w:val="22"/>
                <w:szCs w:val="22"/>
              </w:rPr>
            </w:pPr>
            <w:r>
              <w:rPr>
                <w:rFonts w:ascii="IosevkaTerm NF" w:hAnsi="IosevkaTerm NF"/>
                <w:sz w:val="22"/>
                <w:szCs w:val="22"/>
              </w:rPr>
              <w:t>Tous Sprints</w:t>
            </w:r>
          </w:p>
        </w:tc>
      </w:tr>
    </w:tbl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sz w:val="26"/>
          <w:szCs w:val="26"/>
        </w:rPr>
      </w:pPr>
      <w:r>
        <w:rPr>
          <w:rFonts w:ascii="IosevkaTerm NF" w:hAnsi="IosevkaTerm NF"/>
          <w:sz w:val="26"/>
          <w:szCs w:val="26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IosevkaTerm NF" w:hAnsi="IosevkaTerm NF"/>
          <w:color w:val="C9211E"/>
          <w:sz w:val="26"/>
          <w:szCs w:val="26"/>
        </w:rPr>
      </w:pPr>
      <w:r>
        <w:rPr>
          <w:rFonts w:ascii="IosevkaTerm NF" w:hAnsi="IosevkaTerm NF"/>
          <w:color w:val="C9211E"/>
          <w:sz w:val="26"/>
          <w:szCs w:val="26"/>
        </w:rPr>
        <w:t>Synthèse du Produit 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b/>
          <w:sz w:val="22"/>
          <w:szCs w:val="22"/>
        </w:rPr>
        <w:t>Nombre de Sprints prévus :</w:t>
      </w:r>
      <w:r>
        <w:rPr>
          <w:rFonts w:ascii="IosevkaTerm NF" w:hAnsi="IosevkaTerm NF"/>
          <w:sz w:val="22"/>
          <w:szCs w:val="22"/>
        </w:rPr>
        <w:t xml:space="preserve"> 4 Sprints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IosevkaTerm NF" w:hAnsi="IosevkaTerm NF"/>
          <w:b/>
          <w:sz w:val="22"/>
          <w:szCs w:val="22"/>
        </w:rPr>
      </w:pPr>
      <w:r>
        <w:rPr>
          <w:rFonts w:ascii="IosevkaTerm NF" w:hAnsi="IosevkaTerm NF"/>
          <w:b/>
          <w:sz w:val="22"/>
          <w:szCs w:val="22"/>
        </w:rPr>
        <w:t>Règle d'Acceptation (Definition of Done - DoD) 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  <w:t>Le code frontend (React/TS/Vite) et backend (Spring Boot) est testé sans erreur.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  <w:t>Le workflow Camunda Zeebe s'exécute sans blocage ni régression.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  <w:t>L'interface est responsive et respecte les maquettes validées.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  <w:t>L'action est réalisable par l'utilisateur ciblé sans bug applicatif ni faille de sécurité (contrôle d'accès JWT vérifié).</w:t>
      </w:r>
    </w:p>
    <w:p>
      <w:pPr>
        <w:pStyle w:val="Normal"/>
        <w:bidi w:val="0"/>
        <w:jc w:val="start"/>
        <w:rPr>
          <w:rFonts w:ascii="IosevkaTerm NF" w:hAnsi="IosevkaTerm NF"/>
          <w:sz w:val="22"/>
          <w:szCs w:val="22"/>
        </w:rPr>
      </w:pPr>
      <w:r>
        <w:rPr>
          <w:rFonts w:ascii="IosevkaTerm NF" w:hAnsi="IosevkaTerm NF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IosevkaTerm NF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Titre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Titre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Titre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Titre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4318</TotalTime>
  <Application>LibreOffice/24.2.7.2$Linux_X86_64 LibreOffice_project/420$Build-2</Application>
  <AppVersion>15.0000</AppVersion>
  <Pages>9</Pages>
  <Words>1299</Words>
  <Characters>7471</Characters>
  <CharactersWithSpaces>8510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2026-07-25T15:33:42Z</dcterms:created>
  <dc:creator/>
  <dc:description/>
  <dc:language>fr-FR</dc:language>
  <cp:lastModifiedBy/>
  <dcterms:modified xsi:type="dcterms:W3CDTF">2026-07-28T16:14:04Z</dcterms:modified>
  <cp:revision>4</cp:revision>
  <dc:subject/>
  <dc:title/>
</cp:coreProperties>
</file>