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20" w:after="360"/>
        <w:jc w:val="center"/>
      </w:pPr>
      <w:r>
        <w:rPr>
          <w:rFonts w:ascii="Calibri" w:hAnsi="Calibri"/>
          <w:b/>
          <w:color w:val="8A6400"/>
          <w:sz w:val="22"/>
        </w:rPr>
        <w:t>REPORT DI ARCHITETTURA E VALIDAZIONE</w:t>
      </w:r>
    </w:p>
    <w:p>
      <w:pPr>
        <w:spacing w:after="200"/>
        <w:jc w:val="center"/>
      </w:pPr>
      <w:r>
        <w:rPr>
          <w:rFonts w:ascii="Calibri" w:hAnsi="Calibri"/>
          <w:b/>
          <w:color w:val="17365D"/>
          <w:sz w:val="60"/>
        </w:rPr>
        <w:t>Portafoglio strutturale</w:t>
        <w:br/>
        <w:t>a tre ETF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30"/>
        </w:rPr>
        <w:t>Caratteristiche, confronto con SWDA e priorita di miglioramento</w:t>
      </w:r>
    </w:p>
    <w:p>
      <w:pPr>
        <w:jc w:val="center"/>
      </w:pPr>
      <w:r>
        <w:rPr>
          <w:rFonts w:ascii="Calibri" w:hAnsi="Calibri"/>
          <w:i/>
          <w:color w:val="666666"/>
          <w:sz w:val="21"/>
        </w:rPr>
        <w:t>Versione ricostruita al 28 agosto 2026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7365D"/>
          <w:left w:val="single" w:sz="10" w:color="17365D"/>
          <w:bottom w:val="single" w:sz="10" w:color="17365D"/>
          <w:right w:val="single" w:sz="10" w:color="17365D"/>
          <w:insideH w:val="single" w:sz="10" w:color="17365D"/>
          <w:insideV w:val="single" w:sz="10" w:color="17365D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EF4FA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7365D"/>
                <w:sz w:val="21"/>
              </w:rPr>
              <w:t xml:space="preserve">Conclusione centrale. </w:t>
            </w:r>
            <w:r>
              <w:rPr>
                <w:rFonts w:ascii="Calibri" w:hAnsi="Calibri"/>
                <w:color w:val="222222"/>
                <w:sz w:val="21"/>
              </w:rPr>
              <w:t>Il portafoglio World-Momentum-Quality ha migliorato storicamente rendimento e drawdown rispetto al proxy World, con volatilita quasi invariata. Il vantaggio non basta ancora per dichiararlo sostituto definitivo di SWDA: occorrono validazione ETF-level, analisi fiscale after-tax e prova prospettica.</w:t>
            </w:r>
          </w:p>
        </w:tc>
      </w:tr>
    </w:tbl>
    <w:p>
      <w:pPr>
        <w:spacing w:after="60"/>
      </w:pPr>
    </w:p>
    <w:p>
      <w:pPr>
        <w:spacing w:before="400"/>
        <w:jc w:val="center"/>
      </w:pPr>
      <w:r>
        <w:rPr>
          <w:rFonts w:ascii="Calibri" w:hAnsi="Calibri"/>
          <w:i/>
          <w:color w:val="9B1C1C"/>
          <w:sz w:val="18"/>
        </w:rPr>
        <w:t>Documento di ricerca - non costituisce autorita di trading o consulenza personalizzata</w:t>
      </w:r>
    </w:p>
    <w:p>
      <w:r>
        <w:br w:type="page"/>
      </w:r>
    </w:p>
    <w:p>
      <w:pPr>
        <w:pStyle w:val="Heading1"/>
        <w:keepNext/>
      </w:pPr>
      <w:r>
        <w:t>Indice</w:t>
      </w:r>
    </w:p>
    <w:p>
      <w:r>
        <w:rPr>
          <w:rFonts w:ascii="Calibri" w:hAnsi="Calibri"/>
          <w:color w:val="222222"/>
        </w:rPr>
        <w:t>1. Sintesi decisionale</w:t>
      </w:r>
    </w:p>
    <w:p>
      <w:r>
        <w:rPr>
          <w:rFonts w:ascii="Calibri" w:hAnsi="Calibri"/>
          <w:color w:val="222222"/>
        </w:rPr>
        <w:t>2. Mandato e gerarchia del sistema</w:t>
      </w:r>
    </w:p>
    <w:p>
      <w:r>
        <w:rPr>
          <w:rFonts w:ascii="Calibri" w:hAnsi="Calibri"/>
          <w:color w:val="222222"/>
        </w:rPr>
        <w:t>3. Portafoglio strutturale a tre ETF</w:t>
      </w:r>
    </w:p>
    <w:p>
      <w:r>
        <w:rPr>
          <w:rFonts w:ascii="Calibri" w:hAnsi="Calibri"/>
          <w:color w:val="222222"/>
        </w:rPr>
        <w:t>4. Regole operative, costi e fiscalita</w:t>
      </w:r>
    </w:p>
    <w:p>
      <w:r>
        <w:rPr>
          <w:rFonts w:ascii="Calibri" w:hAnsi="Calibri"/>
          <w:color w:val="222222"/>
        </w:rPr>
        <w:t>5. Confronto approfondito con SWDA</w:t>
      </w:r>
    </w:p>
    <w:p>
      <w:r>
        <w:rPr>
          <w:rFonts w:ascii="Calibri" w:hAnsi="Calibri"/>
          <w:color w:val="222222"/>
        </w:rPr>
        <w:t>6. Perche il portafoglio ha funzionato e quando puo deludere</w:t>
      </w:r>
    </w:p>
    <w:p>
      <w:r>
        <w:rPr>
          <w:rFonts w:ascii="Calibri" w:hAnsi="Calibri"/>
          <w:color w:val="222222"/>
        </w:rPr>
        <w:t>7. Damodaran, GDI, TCE e DRO: ruoli separati</w:t>
      </w:r>
    </w:p>
    <w:p>
      <w:r>
        <w:rPr>
          <w:rFonts w:ascii="Calibri" w:hAnsi="Calibri"/>
          <w:color w:val="222222"/>
        </w:rPr>
        <w:t>8. Punti da migliorare e approfondire</w:t>
      </w:r>
    </w:p>
    <w:p>
      <w:r>
        <w:rPr>
          <w:rFonts w:ascii="Calibri" w:hAnsi="Calibri"/>
          <w:color w:val="222222"/>
        </w:rPr>
        <w:t>9. Roadmap di validazione</w:t>
      </w:r>
    </w:p>
    <w:p>
      <w:r>
        <w:rPr>
          <w:rFonts w:ascii="Calibri" w:hAnsi="Calibri"/>
          <w:color w:val="222222"/>
        </w:rPr>
        <w:t>Appendici: rendimenti annuali, parametri e fonti</w:t>
      </w:r>
    </w:p>
    <w:p>
      <w:pPr>
        <w:pStyle w:val="Heading1"/>
        <w:keepNext/>
      </w:pPr>
      <w:r>
        <w:t>1. Sintesi decisionale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F6D4A"/>
          <w:left w:val="single" w:sz="10" w:color="1F6D4A"/>
          <w:bottom w:val="single" w:sz="10" w:color="1F6D4A"/>
          <w:right w:val="single" w:sz="10" w:color="1F6D4A"/>
          <w:insideH w:val="single" w:sz="10" w:color="1F6D4A"/>
          <w:insideV w:val="single" w:sz="10" w:color="1F6D4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6D4A"/>
                <w:sz w:val="21"/>
              </w:rPr>
              <w:t xml:space="preserve">Decisione di ricerca. </w:t>
            </w:r>
            <w:r>
              <w:rPr>
                <w:rFonts w:ascii="Calibri" w:hAnsi="Calibri"/>
                <w:color w:val="222222"/>
                <w:sz w:val="21"/>
              </w:rPr>
              <w:t>Mantenere come candidato strutturale: 33,05% World, 26,64% Momentum e 40,32% Quality. Il Trend e escluso per costo e accessibilita; TCE e DRO restano supplementi opzionali separati.</w:t>
            </w:r>
          </w:p>
        </w:tc>
      </w:tr>
    </w:tbl>
    <w:p>
      <w:pPr>
        <w:spacing w:after="60"/>
      </w:pPr>
    </w:p>
    <w:p>
      <w:r>
        <w:rPr>
          <w:rFonts w:ascii="Calibri" w:hAnsi="Calibri"/>
          <w:color w:val="222222"/>
        </w:rPr>
        <w:t>Sul campione comune di 240 mesi il portafoglio a tre ETF ha prodotto un CAGR del 10,49% contro il 9,41% di World, con volatilita del 13,15% contro 13,39% e drawdown massimo del -43,83% contro -48,21%.</w:t>
      </w:r>
    </w:p>
    <w:p>
      <w:r>
        <w:rPr>
          <w:rFonts w:ascii="Calibri" w:hAnsi="Calibri"/>
          <w:color w:val="222222"/>
        </w:rPr>
        <w:t>Negli ultimi dieci anni del campione il CAGR e stato 13,62% contro 12,35% di World, con volatilita quasi uguale. La tesi e un'esposizione azionaria fattoriale piu efficiente, non una protezione strutturale dalle crisi.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Punto forte: maggiore rendimento storico con rischio complessivo simile.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Punto debole: resta interamente azionario e aumenta complessita, turnover e fiscalita.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Stato corretto: candidato da validare, non sostituzione automatica del portafoglio reale.</w:t>
      </w:r>
    </w:p>
    <w:p>
      <w:pPr>
        <w:pStyle w:val="Heading1"/>
        <w:keepNext/>
      </w:pPr>
      <w:r>
        <w:t>2. Mandato e gerarchia del sistema</w:t>
      </w:r>
    </w:p>
    <w:p>
      <w:r>
        <w:rPr>
          <w:rFonts w:ascii="Calibri" w:hAnsi="Calibri"/>
          <w:color w:val="222222"/>
        </w:rPr>
        <w:t>Il progetto nasce con un obiettivo piu ampio del semplice rendimento nominale: accrescere e poi preservare capitale reale in EUR, ridurre il sequence-of-returns risk, controllare fiscalita e costi, e rendere possibile una futura distribuzione sostenibile.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900"/>
        <w:gridCol w:w="5100"/>
        <w:gridCol w:w="23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Livello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Funzione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Stato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Portafoglio strutturale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100% World / Momentum / Quality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Candidato THREE_EQUITY_FIXED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Valuation engine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Damodaran ERP, Treasury e TIPS come lettura/veto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Da integrare senza cambiare i pesi fissi in modo discrezionale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GDI mensile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Regime monetario e possibile tilt Value/Growth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Osservativo e validativo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TCE news-based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Selezione tematica/fondamentale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Prospettico; backtest decennale non validato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DRO deterministico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Ranking di prezzo separato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Ricerca retrospettiva; supplemento opzionale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Rule E + Funding G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Distribuzione e waterfall fiscale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Shadow monitoring; non ancora integrato nel backtest a tre ETF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8A6400"/>
          <w:left w:val="single" w:sz="10" w:color="8A6400"/>
          <w:bottom w:val="single" w:sz="10" w:color="8A6400"/>
          <w:right w:val="single" w:sz="10" w:color="8A6400"/>
          <w:insideH w:val="single" w:sz="10" w:color="8A6400"/>
          <w:insideV w:val="single" w:sz="10" w:color="8A64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A6400"/>
                <w:sz w:val="21"/>
              </w:rPr>
              <w:t xml:space="preserve">Principio di governance. </w:t>
            </w:r>
            <w:r>
              <w:rPr>
                <w:rFonts w:ascii="Calibri" w:hAnsi="Calibri"/>
                <w:color w:val="222222"/>
                <w:sz w:val="21"/>
              </w:rPr>
              <w:t>Gli overlay non possono alterare o finanziare automaticamente il 100% strutturale. Un eventuale supplemento TCE/DRO, fino a circa il 10%, richiede una decisione distinta su nozionale e fonte di finanziamento.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3. Portafoglio strutturale a tre ETF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150"/>
        <w:gridCol w:w="850"/>
        <w:gridCol w:w="1100"/>
        <w:gridCol w:w="1750"/>
        <w:gridCol w:w="760"/>
        <w:gridCol w:w="3750"/>
      </w:tblGrid>
      <w:tr>
        <w:trPr>
          <w:tblHeader w:val="true"/>
        </w:trP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Sleeve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Peso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ETF candidato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ISIN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7"/>
              </w:rPr>
              <w:t>TER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Ruolo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World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33,05%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SWDA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IE00B4L5Y983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0,20%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Core globale developed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Momentum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26,64%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IWMO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IE00BP3QZ825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0,25%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Premio ai titoli con forza relativa</w:t>
            </w:r>
          </w:p>
        </w:tc>
      </w:tr>
      <w:tr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Quality</w:t>
            </w:r>
          </w:p>
        </w:tc>
        <w:tc>
          <w:tcPr>
            <w:tcW w:type="dxa" w:w="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40,32%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IWQU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IE00BP3QZ601</w:t>
            </w:r>
          </w:p>
        </w:tc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0,25%</w:t>
            </w:r>
          </w:p>
        </w:tc>
        <w:tc>
          <w:tcPr>
            <w:tcW w:type="dxa" w:w="3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Profitabilita/qualita e stabilita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Il TER ponderato indicativo e circa 0,23% annuo, contro 0,20% per SWDA. Questo costo ETF non e stato dedotto dal backtest a proxy: deve entrare nella validazione investibile.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SWDA, IWMO e IWQU sono ad accumulazione e quotati a Milano nella mappatura congelata al 27 agosto 2026.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I proxy storici non coincidono con gli ETF: Kenneth French BIG HiPR/HiOP non sono backfill degli indici MSCI.</w:t>
      </w:r>
    </w:p>
    <w:p>
      <w:pPr>
        <w:pStyle w:val="Heading2"/>
        <w:keepNext/>
      </w:pPr>
      <w:r>
        <w:t>3.1 Ruolo economico dei tre elementi</w:t>
      </w:r>
    </w:p>
    <w:p>
      <w:r>
        <w:rPr>
          <w:rFonts w:ascii="Calibri" w:hAnsi="Calibri"/>
          <w:color w:val="222222"/>
        </w:rPr>
        <w:t>World mantiene l'esposizione al premio azionario globale e rende il portafoglio riconoscibile rispetto al benchmark. Momentum e Quality diversificano il modo in cui si selezionano i titoli, ma restano azionario developed e possono sovrapporsi al core. Senza Trend non bisogna attendersi una forte protezione nelle crisi.</w:t>
      </w:r>
    </w:p>
    <w:p>
      <w:pPr>
        <w:pStyle w:val="Heading2"/>
        <w:keepNext/>
      </w:pPr>
      <w:r>
        <w:t>3.2 Regole congelate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Pesi iniziali fissi e somma sempre pari al 100%.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Ribilanciamento all'avvio e ogni gennaio; negli altri mesi i pesi possono derivare.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Valuta di analisi EUR; componente azionaria sostanzialmente non coperta dal rischio cambio.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Nessuna ottimizzazione dei pesi dopo l'ispezione dei risultati.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Commissione simulata EUR 19 per ordine di sleeve e 10 bps di spread/slippage.</w:t>
      </w:r>
    </w:p>
    <w:p>
      <w:pPr>
        <w:pStyle w:val="Heading1"/>
        <w:keepNext/>
      </w:pPr>
      <w:r>
        <w:t>4. Regole operative, costi e fiscalita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400"/>
        <w:gridCol w:w="3480"/>
        <w:gridCol w:w="3480"/>
      </w:tblGrid>
      <w:tr>
        <w:trPr>
          <w:tblHeader w:val="true"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Voce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Portafoglio a tre ETF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SWDA soltanto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Ribilanciamento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Annuale a gennaio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Nessun ribilanciamento interno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Commissioni nel test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1.596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19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Spread/slippage nel test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3.183,52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800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TER corrente indicativo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circa 0,23% ponderato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0,20%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Fiscalita italiana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Realizzazioni annuali su piu ETF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Tax drag potenzialmente inferiore</w:t>
            </w:r>
          </w:p>
        </w:tc>
      </w:tr>
      <w:t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Complessita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Tre strumenti + verifica pesi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Un solo strumento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B1C1C"/>
          <w:left w:val="single" w:sz="10" w:color="9B1C1C"/>
          <w:bottom w:val="single" w:sz="10" w:color="9B1C1C"/>
          <w:right w:val="single" w:sz="10" w:color="9B1C1C"/>
          <w:insideH w:val="single" w:sz="10" w:color="9B1C1C"/>
          <w:insideV w:val="single" w:sz="1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Lacuna after-tax. </w:t>
            </w:r>
            <w:r>
              <w:rPr>
                <w:rFonts w:ascii="Calibri" w:hAnsi="Calibri"/>
                <w:color w:val="222222"/>
                <w:sz w:val="21"/>
              </w:rPr>
              <w:t>Il confronto storico e dopo costi di trading simulati ma prima di TER reali, imposte e caratteristiche dei tax lots. Per un investitore italiano questo puo ridurre il vantaggio del portafoglio multi-ETF e deve essere quantificato.</w:t>
            </w:r>
          </w:p>
        </w:tc>
      </w:tr>
    </w:tbl>
    <w:p>
      <w:pPr>
        <w:spacing w:after="60"/>
      </w:pPr>
    </w:p>
    <w:p>
      <w:r>
        <w:rPr>
          <w:rFonts w:ascii="Calibri" w:hAnsi="Calibri"/>
          <w:color w:val="222222"/>
        </w:rPr>
        <w:t>La policy fiscale di progetto prevede il 26% sulle plusvalenze ETF realizzate e una vendita guidata dai lotti. Il trattamento agevolato al 12,5% riguarda titoli di Stato eleggibili, non le tre sleeve attuali. La regola di funding G resta rilevante per i futuri prelievi, ma non e stata ancora collegata a questo backtest.</w:t>
      </w:r>
    </w:p>
    <w:p>
      <w:r>
        <w:br w:type="page"/>
      </w:r>
    </w:p>
    <w:p>
      <w:pPr>
        <w:pStyle w:val="Heading1"/>
        <w:keepNext/>
      </w:pPr>
      <w:r>
        <w:t>5. Confronto approfondito: SWDA vs portafoglio a tre ETF</w:t>
      </w:r>
    </w:p>
    <w:p>
      <w:r>
        <w:rPr>
          <w:rFonts w:ascii="Calibri" w:hAnsi="Calibri"/>
          <w:color w:val="222222"/>
        </w:rPr>
        <w:t>Il benchmark della ricerca e World 100%, cioe il proxy economico di SWDA. Il confronto ventennale non usa gli ETF reali per l'intero periodo: SWDA e partito nel 2009, IWMO e IWQU nel 2014. Usa quindi proxy Developed convertiti in EUR; i risultati non sono rendimenti storici ufficiali degli ETF MSCI.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941930"/>
            <wp:docPr id="1" name="Picture 1" title="Crescita del capitale" descr="Grafico della crescita di EUR 800.000 per World e portafoglio a tre ETF dal giugno 2006 al maggio 2026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av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419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666666"/>
          <w:sz w:val="18"/>
        </w:rPr>
        <w:t>Figura 1 - Evoluzione del capitale simulato dopo costi di negoziazione.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600"/>
        <w:gridCol w:w="2000"/>
        <w:gridCol w:w="2000"/>
        <w:gridCol w:w="2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Metrica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SWDA / World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Portafoglio 3 ETF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Differenza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CAGR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9,41%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10,49%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+1,08 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Volatilita annua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13,39%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13,15%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-0,24 pp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Max drawdown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-48,21%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-43,83%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+4,39 pp di tenuta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CAGR / volatilita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0,741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0,827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+0,086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NAV finale da EUR 800.000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4,834 mln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5,883 mln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+EUR 1,048 mln</w:t>
            </w:r>
          </w:p>
        </w:tc>
      </w:tr>
    </w:tbl>
    <w:p>
      <w:pPr>
        <w:spacing w:before="40" w:after="4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2787091"/>
            <wp:docPr id="2" name="Picture 2" title="Metriche di rendimento e rischio" descr="Confronto a barre di CAGR, volatilita e drawdown massimo per World e portafoglio a tre ETF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rics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87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/>
          <w:i/>
          <w:color w:val="666666"/>
          <w:sz w:val="18"/>
        </w:rPr>
        <w:t>Figura 2 - Il vantaggio storico principale e nel rendimento; il rischio resta vicino a World.</w:t>
      </w:r>
    </w:p>
    <w:p>
      <w:pPr>
        <w:pStyle w:val="Heading2"/>
        <w:keepNext/>
      </w:pPr>
      <w:r>
        <w:t>5.1 Robustezza negli ultimi dieci anni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900"/>
        <w:gridCol w:w="1500"/>
        <w:gridCol w:w="1500"/>
        <w:gridCol w:w="3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Metrica 2016-06 / 2026-05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World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8"/>
              </w:rPr>
              <w:t>Portafoglio 3 ETF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Lettura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CAGR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12,35%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13,62%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Rendimento superiore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Volatilita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13,48%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13,48%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Rischio sostanzialmente uguale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Max drawdown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-20,45%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-17,87%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Perdita massima piu contenuta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Nei 19 anni solari completi 2007-2025 il portafoglio a tre ETF ha sovraperformato World in 14 anni e sottoperformato in 5. Questa frequenza descrive il campione storico, non una probabilita futura.</w:t>
      </w:r>
    </w:p>
    <w:p>
      <w:pPr>
        <w:pStyle w:val="Heading2"/>
        <w:keepNext/>
      </w:pPr>
      <w:r>
        <w:t>5.2 Interpretazione corretta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Nel 2008 World ha perso circa il 37,49% e il portafoglio a tre ETF circa il 35,29%: la protezione e modesta, coerentemente con un portafoglio interamente azionario.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Nel rimbalzo 2009 il portafoglio a tre ETF ha guadagnato meno di World; i fattori non vincono in ogni regime.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Nell'ultimo decennio il vantaggio storico e stato soprattutto di rendimento, con volatilita quasi identica.</w:t>
      </w:r>
    </w:p>
    <w:p>
      <w:pPr>
        <w:pStyle w:val="Heading1"/>
        <w:keepNext/>
      </w:pPr>
      <w:r>
        <w:t>6. Perche il portafoglio ha funzionato e quando puo deludere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700"/>
        <w:gridCol w:w="3720"/>
        <w:gridCol w:w="394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Meccanismo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Beneficio atteso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Scenario sfavorevole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World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Crescita globale e semplicita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Bear market azionario globale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Momentum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Partecipa ai trend azionari persistenti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Reversal rapidi e rotazioni improvvise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Quality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Bilanci/profitti piu robusti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Fasi speculative o value rebound aggressivi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Ribilanciamento annuale</w:t>
            </w:r>
          </w:p>
        </w:tc>
        <w:tc>
          <w:tcPr>
            <w:tcW w:type="dxa" w:w="3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Disciplina e turnover contenuto</w:t>
            </w:r>
          </w:p>
        </w:tc>
        <w:tc>
          <w:tcPr>
            <w:tcW w:type="dxa" w:w="39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Timing di gennaio sfavorevole o drift eccessivo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8A6400"/>
          <w:left w:val="single" w:sz="10" w:color="8A6400"/>
          <w:bottom w:val="single" w:sz="10" w:color="8A6400"/>
          <w:right w:val="single" w:sz="10" w:color="8A6400"/>
          <w:insideH w:val="single" w:sz="10" w:color="8A6400"/>
          <w:insideV w:val="single" w:sz="10" w:color="8A6400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8E8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8A6400"/>
                <w:sz w:val="21"/>
              </w:rPr>
              <w:t xml:space="preserve">Rischio residuo. </w:t>
            </w:r>
            <w:r>
              <w:rPr>
                <w:rFonts w:ascii="Calibri" w:hAnsi="Calibri"/>
                <w:color w:val="222222"/>
                <w:sz w:val="21"/>
              </w:rPr>
              <w:t>World, Momentum e Quality restano tutti azionari developed. Il mix puo migliorare selezione e percorso, ma non sostituisce una vera sleeve diversificante nelle crisi.</w:t>
            </w:r>
          </w:p>
        </w:tc>
      </w:tr>
    </w:tbl>
    <w:p>
      <w:pPr>
        <w:spacing w:after="60"/>
      </w:pPr>
    </w:p>
    <w:p>
      <w:pPr>
        <w:pStyle w:val="Heading1"/>
        <w:keepNext/>
      </w:pPr>
      <w:r>
        <w:t>7. Damodaran, GDI, TCE e DRO: ruoli separati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300"/>
        <w:gridCol w:w="1100"/>
        <w:gridCol w:w="2800"/>
        <w:gridCol w:w="2300"/>
        <w:gridCol w:w="1860"/>
      </w:tblGrid>
      <w:tr>
        <w:trPr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Modulo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Frequenza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Cosa misura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Uso consentito oggi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Problema aperto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Damodaran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ERP e convenienza azionaria vs risk-free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Lettura/veto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Non e ancora collegato ai pesi ERC annuali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GDI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 + pulse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Gold/SDR, excess money, repressione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Osservazione e validazione Value/Growth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Backtest della regola simmetrica non conclusivo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TCE news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 + eventi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Policy, ordini, earnings, valutazione, crowding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Shadow/prospettico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Punteggi storici PIT non ricostruibili</w:t>
            </w:r>
          </w:p>
        </w:tc>
      </w:tr>
      <w:t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DRO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Mensile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Ranking 12-1 e trend 10 mesi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Supplemento opzionale separato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Survivorship/proxy bias; non e TCE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Il GDI congelato combina 40% Gold/SDR, 35% Global Excess Money e 25% Financial Repression. E pensato per capire quando un tilt Value o Growth merita attenzione, non per riscrivere mensilmente i tre pesi senza una validazione separata.</w:t>
      </w:r>
    </w:p>
    <w:p>
      <w:r>
        <w:rPr>
          <w:rFonts w:ascii="Calibri" w:hAnsi="Calibri"/>
          <w:color w:val="222222"/>
        </w:rPr>
        <w:t>Il DRO ha prodotto risultati retrospettivi molto forti dal 2020, ma utilizza un universo congelato nel 2026 e proxy condizionali. Non deve essere sommato al CAGR del portafoglio strutturale ne interpretato come prova del TCE originale basato sulle notizie.</w:t>
      </w:r>
    </w:p>
    <w:p>
      <w:r>
        <w:br w:type="page"/>
      </w:r>
    </w:p>
    <w:p>
      <w:pPr>
        <w:pStyle w:val="Heading1"/>
        <w:keepNext/>
      </w:pPr>
      <w:r>
        <w:t>8. Punti da migliorare e approfondire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800"/>
        <w:gridCol w:w="1900"/>
        <w:gridCol w:w="4500"/>
        <w:gridCol w:w="216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Priorita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Area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Lavoro richiesto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6"/>
              </w:rPr>
              <w:t>Perche conta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After-tax comparison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Ricostruire SWDA e portafoglio a tre ETF con tax lots italiani, TER, commissioni e spread reali.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Decisione investibile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ETF-level validation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Usare ogni ETF solo dalla propria inception; nessun backfill artificiale.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Misura del tracking gap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Provenienza pesi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Documentare finestra/covarianza che ha generato i coefficienti e testarli walk-forward.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Escludere look-ahead nei coefficienti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Ribilanciamento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Confrontare gennaio fisso con bande tax-aware e annualita mobile senza ottimizzazione ex post.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Ridurre tax drag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Overlap azionario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Misurare concentrazione per titolo/settore e correlazioni SWDA-IWMO-IWQU.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Capire la vera diversificazione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Perpetuity integration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Rifare bootstrap/Monte Carlo con le tre sleeve, CPI italiano e Rule E+G.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Validare reddito e capitale reale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Regime overlays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Definire se Damodaran/GDI agiscono solo su overlay o su bande strutturali predefinite.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Evitare conflitti di governance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Prospective ledger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Congelare score GDI/TCE/DRO prima dei prezzi successivi.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Prova out-of-sample</w:t>
            </w:r>
          </w:p>
        </w:tc>
      </w:tr>
      <w:t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Stress e sensitivita</w:t>
            </w:r>
          </w:p>
        </w:tc>
        <w:tc>
          <w:tcPr>
            <w:tcW w:type="dxa" w:w="4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Proxy alternativi, FX, inflazione e costi 5/10/20 bps.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6"/>
              </w:rPr>
              <w:t>Robustezza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8.1 Parametri economici da riconciliare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9B1C1C"/>
          <w:left w:val="single" w:sz="10" w:color="9B1C1C"/>
          <w:bottom w:val="single" w:sz="10" w:color="9B1C1C"/>
          <w:right w:val="single" w:sz="10" w:color="9B1C1C"/>
          <w:insideH w:val="single" w:sz="10" w:color="9B1C1C"/>
          <w:insideV w:val="single" w:sz="10" w:color="9B1C1C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1F1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9B1C1C"/>
                <w:sz w:val="21"/>
              </w:rPr>
              <w:t xml:space="preserve">Dato utente non ancora codificato. </w:t>
            </w:r>
            <w:r>
              <w:rPr>
                <w:rFonts w:ascii="Calibri" w:hAnsi="Calibri"/>
                <w:color w:val="222222"/>
                <w:sz w:val="21"/>
              </w:rPr>
              <w:t>La conversazione successiva ha qualificato sia la rata sia EUR 180.000 come importi lordi fiscali. La configurazione four_sleeve_v1 non contiene ancora natura, frequenza, timing o trattamento fiscale di questi flussi: non devono essere inseriti nei calcoli per supposizione.</w:t>
            </w:r>
          </w:p>
        </w:tc>
      </w:tr>
    </w:tbl>
    <w:p>
      <w:pPr>
        <w:spacing w:after="60"/>
      </w:pPr>
    </w:p>
    <w:p>
      <w:r>
        <w:rPr>
          <w:rFonts w:ascii="Calibri" w:hAnsi="Calibri"/>
          <w:color w:val="222222"/>
        </w:rPr>
        <w:t>Anche la policy E+G archiviata usa ancora EUR 1.800 netti/mese nella zona protetta. Prima dell'attivazione occorre una specifica unica che distingua con precisione lordo, netto, imposta sulle plusvalenze e fabbisogno di cassa.</w:t>
      </w:r>
    </w:p>
    <w:p>
      <w:pPr>
        <w:pStyle w:val="Heading2"/>
        <w:keepNext/>
      </w:pPr>
      <w:r>
        <w:t>8.2 Limiti statistici da tenere visibili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Il test e retrospettivo e basato sulle versioni correnti degli archivi, non su una storia di segnali pubblicati in tempo reale.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La finestra di venti anni contiene pochi grandi regimi indipendenti; il 2008 pesa molto sulla conclusione.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La frequenza di vittoria decennale non garantisce una finestra futura positiva; il peggiore excess CAGR osservato e -1,31% annuo.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I proxy Momentum e Quality sono portafogli accademici e non repliche esatte degli indici MSCI degli ETF.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Un confronto veramente personale deve includere posizione fiscale, tax lots, orizzonte, contributi e prelievi reali.</w:t>
      </w:r>
    </w:p>
    <w:p>
      <w:pPr>
        <w:pStyle w:val="Heading1"/>
        <w:keepNext/>
      </w:pPr>
      <w:r>
        <w:t>9. Roadmap di validazione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Congelare in una specifica unica capitale, EUR 180.000 lordi, rata lorda fiscale, contribuzioni e data di attivazione dei prelievi.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Costruire il backtest ETF-level dalla data comune investibile e quantificare tracking gap rispetto ai proxy.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Eseguire confronto after-tax paired: SWDA vs portafoglio a tre ETF con gli stessi flussi e gli stessi shock.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Rifare Monte Carlo/block bootstrap del sistema perpetuo usando le tre sleeve e Rule E+G, senza importare i risultati legacy 60/20/20.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Attivare un periodo shadow di 12-24 mesi con pesi congelati e registro prospettico di GDI/TCE/DRO.</w:t>
      </w:r>
    </w:p>
    <w:p>
      <w:pPr>
        <w:pStyle w:val="ListNumber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Solo dopo, decidere transizione graduale, eventuali bande di ribilanciamento e dimensione dell'overlay opzionale.</w:t>
      </w:r>
    </w:p>
    <w:p>
      <w:pPr>
        <w:pStyle w:val="Heading2"/>
        <w:keepNext/>
      </w:pPr>
      <w:r>
        <w:t>9.1 Criterio decisionale finale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3000"/>
        <w:gridCol w:w="2300"/>
        <w:gridCol w:w="4060"/>
      </w:tblGrid>
      <w:tr>
        <w:trPr>
          <w:tblHeader w:val="true"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Se la priorita e...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Scelta piu coerente oggi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7"/>
              </w:rPr>
              <w:t>Motivo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Massima semplicita e minimo errore operativo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SWDA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Un ETF, TER inferiore, fiscalita e governance piu semplici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Tilt fattoriale con rendimento storico superiore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Portafoglio 3 ETF in validazione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CAGR storico superiore con rischio simile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Rendita perpetua after-tax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Nessuna scelta definitiva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Serve integrazione tre ETF + CPI + E+G + tax lots</w:t>
            </w:r>
          </w:p>
        </w:tc>
      </w:tr>
      <w:t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Alpha tattico/tematico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Overlay separato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7"/>
              </w:rPr>
              <w:t>TCE/DRO non devono contaminare il benchmark strutturale</w:t>
            </w:r>
          </w:p>
        </w:tc>
      </w:tr>
    </w:tbl>
    <w:p>
      <w:pPr>
        <w:spacing w:before="4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10" w:color="1F6D4A"/>
          <w:left w:val="single" w:sz="10" w:color="1F6D4A"/>
          <w:bottom w:val="single" w:sz="10" w:color="1F6D4A"/>
          <w:right w:val="single" w:sz="10" w:color="1F6D4A"/>
          <w:insideH w:val="single" w:sz="10" w:color="1F6D4A"/>
          <w:insideV w:val="single" w:sz="10" w:color="1F6D4A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3EE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1F6D4A"/>
                <w:sz w:val="21"/>
              </w:rPr>
              <w:t xml:space="preserve">Raccomandazione metodologica. </w:t>
            </w:r>
            <w:r>
              <w:rPr>
                <w:rFonts w:ascii="Calibri" w:hAnsi="Calibri"/>
                <w:color w:val="222222"/>
                <w:sz w:val="21"/>
              </w:rPr>
              <w:t>Usare SWDA come benchmark permanente e il portafoglio a tre ETF come challenger. Il challenger viene promosso solo se mantiene il vantaggio dopo costi, fiscalita, ETF reali e verifica prospettica; non perche il backtest storico e migliore.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keepNext/>
      </w:pPr>
      <w:r>
        <w:t>Appendice A - Rendimenti e volatilita anno per anno</w:t>
      </w:r>
    </w:p>
    <w:p>
      <w:r>
        <w:rPr>
          <w:rFonts w:ascii="Calibri" w:hAnsi="Calibri"/>
          <w:color w:val="222222"/>
        </w:rPr>
        <w:t>Il confronto usa 2007-2025 come anni completi. Il 2026 copre gennaio-maggio: la volatilita e annualizzata da sole cinque osservazioni mensili e va letta con cautela.</w:t>
      </w:r>
    </w:p>
    <w:p>
      <w:pPr>
        <w:pStyle w:val="Heading2"/>
        <w:keepNext/>
      </w:pPr>
      <w:r>
        <w:t>A.1 Rendimenti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250"/>
        <w:gridCol w:w="1800"/>
        <w:gridCol w:w="2200"/>
        <w:gridCol w:w="2055"/>
        <w:gridCol w:w="2055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Anno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SWDA / World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Portafoglio 3 ETF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IWMO / Momentum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IWQU / Quality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-0,55%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3,81%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5,71%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6,14%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-37,49%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-35,29%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-36,69%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-32,55%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27,89%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22,91%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10,87%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26,83%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23,24%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24,03%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31,38%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19,86%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-4,77%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-2,54%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-6,17%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1,71%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15,05%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14,26%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17,09%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11,76%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23,15%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24,24%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29,60%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21,61%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17,61%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18,54%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16,95%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20,38%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11,05%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13,07%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16,03%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12,78%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11,26%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8,67%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5,74%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8,49%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9,10%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10,59%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11,77%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11,04%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-5,11%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-2,41%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-1,18%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-1,02%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29,15%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31,37%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28,60%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35,02%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7,71%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13,29%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18,63%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14,34%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29,06%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27,67%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18,35%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32,71%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-12,87%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-12,68%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-9,76%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-14,45%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18,39%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19,61%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13,85%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24,41%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24,91%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28,70%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34,13%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28,24%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7,71%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4,66%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0,53%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4,90%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2026 (gen-mag)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11,17%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13,64%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23,51%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9,17%</w:t>
            </w:r>
          </w:p>
        </w:tc>
      </w:tr>
    </w:tbl>
    <w:p>
      <w:pPr>
        <w:spacing w:before="40" w:after="40"/>
      </w:pPr>
    </w:p>
    <w:p>
      <w:pPr>
        <w:pStyle w:val="Heading2"/>
        <w:keepNext/>
      </w:pPr>
      <w:r>
        <w:t>A.2 Volatilita annualizzata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1250"/>
        <w:gridCol w:w="1800"/>
        <w:gridCol w:w="2200"/>
        <w:gridCol w:w="2055"/>
        <w:gridCol w:w="2055"/>
      </w:tblGrid>
      <w:tr>
        <w:trPr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Anno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SWDA / World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Portafoglio 3 ETF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IWMO / Momentum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/>
                <w:color w:val="222222"/>
                <w:sz w:val="15"/>
              </w:rPr>
              <w:t>IWQU / Quality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2007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9,69%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9,56%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10,30%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9,25%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2008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19,48%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19,30%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20,34%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19,25%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2009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17,78%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14,90%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14,30%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14,20%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10,79%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11,58%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15,13%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10,07%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12,44%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12,50%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15,64%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10,94%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7,09%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6,24%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6,09%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6,64%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7,38%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7,69%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8,97%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7,34%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5,26%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5,96%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7,72%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6,30%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17,31%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17,38%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17,40%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17,76%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2016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9,78%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8,84%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9,25%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8,56%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2017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6,07%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6,10%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6,29%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6,88%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2018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13,04%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13,88%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15,47%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13,93%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2019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11,25%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10,12%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8,45%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10,84%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2020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24,35%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22,43%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21,28%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22,00%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2021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8,39%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8,48%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8,63%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10,21%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2022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19,39%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19,49%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18,21%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21,03%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2023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10,07%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9,32%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10,48%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9,42%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2024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9,30%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10,46%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13,52%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10,00%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2025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12,66%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14,14%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16,12%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14,49%</w:t>
            </w:r>
          </w:p>
        </w:tc>
      </w:tr>
      <w:t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2026 (gen-mag)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14,60%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17,75%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25,55%</w:t>
            </w:r>
          </w:p>
        </w:tc>
        <w:tc>
          <w:tcPr>
            <w:tcW w:type="dxa" w:w="205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Calibri" w:hAnsi="Calibri"/>
                <w:b w:val="0"/>
                <w:color w:val="222222"/>
                <w:sz w:val="15"/>
              </w:rPr>
              <w:t>15,40%</w:t>
            </w:r>
          </w:p>
        </w:tc>
      </w:tr>
    </w:tbl>
    <w:p>
      <w:pPr>
        <w:spacing w:before="40" w:after="40"/>
      </w:pPr>
    </w:p>
    <w:p>
      <w:r>
        <w:rPr>
          <w:rFonts w:ascii="Calibri" w:hAnsi="Calibri"/>
          <w:color w:val="222222"/>
        </w:rPr>
        <w:t>Rendimento annuale = prodotto dei rendimenti mensili (1+r) meno 1. Volatilita annuale = deviazione standard campionaria dei rendimenti mensili dell'anno moltiplicata per radice di 12.</w:t>
      </w:r>
    </w:p>
    <w:p>
      <w:pPr>
        <w:pStyle w:val="Heading1"/>
        <w:keepNext/>
      </w:pPr>
      <w:r>
        <w:t>Appendice B - Assunzioni congelate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0D7DE"/>
          <w:left w:val="single" w:sz="6" w:color="D0D7DE"/>
          <w:bottom w:val="single" w:sz="6" w:color="D0D7DE"/>
          <w:right w:val="single" w:sz="6" w:color="D0D7DE"/>
          <w:insideH w:val="single" w:sz="6" w:color="D0D7DE"/>
          <w:insideV w:val="single" w:sz="6" w:color="D0D7DE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Elemento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/>
                <w:color w:val="222222"/>
                <w:sz w:val="18"/>
              </w:rPr>
              <w:t>Assunzione / stato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Finestra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2006-06-30 / 2026-05-31, 240 mesi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Capitale simulato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800.000; scala di confronto, non valore corrente personale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Valuta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EUR, azionario unhedged; conversione mensile DEXUSEU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World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Kenneth French Developed Mkt-RF + RF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Momentum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Developed BIG HiPR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Proxy Quality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Developed BIG HiOP / Robust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Costi trading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EUR 19 per ordine + 10 bps per gamba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TER e imposte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Non inclusi nel backtest proxy; da integrare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Rebalance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Inception + ogni gennaio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TCE/DRO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Calibri" w:hAnsi="Calibri"/>
                <w:b w:val="0"/>
                <w:color w:val="222222"/>
                <w:sz w:val="18"/>
              </w:rPr>
              <w:t>Separati; supplemento facoltativo, non finanziamento automatico</w:t>
            </w:r>
          </w:p>
        </w:tc>
      </w:tr>
    </w:tbl>
    <w:p>
      <w:pPr>
        <w:spacing w:before="40" w:after="40"/>
      </w:pPr>
    </w:p>
    <w:p>
      <w:pPr>
        <w:pStyle w:val="Heading1"/>
        <w:keepNext/>
      </w:pPr>
      <w:r>
        <w:t>Appendice C - Fonti di progetto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outputs/four_sleeve_v1/validation_report.md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outputs/four_sleeve_v1/summary.csv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outputs/four_sleeve_v1/monthly_returns.csv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config/four_sleeve_v1.json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docs/superpowers/specs/2026-08-27-four-sleeve-tce-validation-v1.md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work/motor_docs/perpetual_engine_v3_3.txt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work/motor_docs/eg_policy_workbook_transcript.txt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outputs/tce_deterministic/2026-08-27.md</w:t>
      </w:r>
    </w:p>
    <w:p>
      <w:pPr>
        <w:pStyle w:val="ListBullet"/>
        <w:spacing w:after="100" w:line="264" w:lineRule="auto"/>
        <w:ind w:left="720" w:hanging="360"/>
      </w:pPr>
      <w:r>
        <w:rPr>
          <w:rFonts w:ascii="Calibri" w:hAnsi="Calibri"/>
          <w:color w:val="222222"/>
        </w:rPr>
        <w:t>outputs/dro_v1/report.md</w:t>
      </w:r>
    </w:p>
    <w:p>
      <w:r>
        <w:rPr>
          <w:rFonts w:ascii="Calibri" w:hAnsi="Calibri"/>
          <w:color w:val="222222"/>
        </w:rPr>
        <w:t>Riferimenti ufficiali degli strumenti: iShares e Borsa Italiana per SWDA, IWMO e IWQU. Le caratteristiche prodotto sono quelle congelate nel report del 27 agosto 2026 e vanno ricontrollate al momento dell'esecuzione.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 xml:space="preserve">Pagina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666666"/>
        <w:sz w:val="17"/>
      </w:rPr>
      <w:t>PORTAFOGLIO STRUTTURALE | ANALISI E VALIDAZIONE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64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Portafoglio strutturale a tre ETF - confronto con SWDA</dc:title>
  <dc:subject>Caratteristiche, validazione, rischi e roadmap</dc:subject>
  <dc:creator>Perpetual Engine - report di ricerca</dc:creator>
  <cp:keywords>SWDA, IWMO, IWQU, Momentum, Quality, GDI, TCE, DRO</cp:keywords>
  <dc:description>Ricerca retrospettiva; non autorita di trading.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