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Calibri" w:hAnsi="Calibri"/>
          <w:b/>
          <w:color w:val="8A6400"/>
          <w:sz w:val="22"/>
        </w:rPr>
        <w:t>REPORT DI ARCHITETTURA E VALIDAZIONE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60"/>
        </w:rPr>
        <w:t>Portafoglio strutturale</w:t>
        <w:br/>
        <w:t>a quattro ETF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Caratteristiche, confronto con SWDA e priorita di miglioramento</w:t>
      </w:r>
    </w:p>
    <w:p>
      <w:pPr>
        <w:jc w:val="center"/>
      </w:pPr>
      <w:r>
        <w:rPr>
          <w:rFonts w:ascii="Calibri" w:hAnsi="Calibri"/>
          <w:i/>
          <w:color w:val="666666"/>
          <w:sz w:val="21"/>
        </w:rPr>
        <w:t>Versione ricostruita al 28 agosto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65D"/>
          <w:left w:val="single" w:sz="10" w:color="17365D"/>
          <w:bottom w:val="single" w:sz="10" w:color="17365D"/>
          <w:right w:val="single" w:sz="10" w:color="17365D"/>
          <w:insideH w:val="single" w:sz="10" w:color="17365D"/>
          <w:insideV w:val="single" w:sz="10" w:color="17365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  <w:sz w:val="21"/>
              </w:rPr>
              <w:t xml:space="preserve">Conclusione centrale. </w:t>
            </w:r>
            <w:r>
              <w:rPr>
                <w:rFonts w:ascii="Calibri" w:hAnsi="Calibri"/>
                <w:color w:val="222222"/>
                <w:sz w:val="21"/>
              </w:rPr>
              <w:t>Il candidato ERC Trend 15 ha migliorato storicamente rendimento, volatilita e drawdown rispetto al proxy World. Il vantaggio non basta ancora per dichiararlo sostituto definitivo di SWDA: occorrono validazione ETF-level, analisi fiscale after-tax e prova prospettica.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Calibri" w:hAnsi="Calibri"/>
          <w:i/>
          <w:color w:val="9B1C1C"/>
          <w:sz w:val="18"/>
        </w:rPr>
        <w:t>Documento di ricerca - non costituisce autorita di trading o consulenza personalizzata</w:t>
      </w:r>
    </w:p>
    <w:p>
      <w:r>
        <w:br w:type="page"/>
      </w:r>
    </w:p>
    <w:p>
      <w:pPr>
        <w:pStyle w:val="Heading1"/>
        <w:keepNext/>
      </w:pPr>
      <w:r>
        <w:t>Indice</w:t>
      </w:r>
    </w:p>
    <w:p>
      <w:r>
        <w:rPr>
          <w:rFonts w:ascii="Calibri" w:hAnsi="Calibri"/>
          <w:color w:val="222222"/>
        </w:rPr>
        <w:t>1. Sintesi decisionale</w:t>
      </w:r>
    </w:p>
    <w:p>
      <w:r>
        <w:rPr>
          <w:rFonts w:ascii="Calibri" w:hAnsi="Calibri"/>
          <w:color w:val="222222"/>
        </w:rPr>
        <w:t>2. Mandato e gerarchia del sistema</w:t>
      </w:r>
    </w:p>
    <w:p>
      <w:r>
        <w:rPr>
          <w:rFonts w:ascii="Calibri" w:hAnsi="Calibri"/>
          <w:color w:val="222222"/>
        </w:rPr>
        <w:t>3. Portafoglio strutturale a quattro sleeve</w:t>
      </w:r>
    </w:p>
    <w:p>
      <w:r>
        <w:rPr>
          <w:rFonts w:ascii="Calibri" w:hAnsi="Calibri"/>
          <w:color w:val="222222"/>
        </w:rPr>
        <w:t>4. Regole operative, costi e fiscalita</w:t>
      </w:r>
    </w:p>
    <w:p>
      <w:r>
        <w:rPr>
          <w:rFonts w:ascii="Calibri" w:hAnsi="Calibri"/>
          <w:color w:val="222222"/>
        </w:rPr>
        <w:t>5. Confronto approfondito con SWDA</w:t>
      </w:r>
    </w:p>
    <w:p>
      <w:r>
        <w:rPr>
          <w:rFonts w:ascii="Calibri" w:hAnsi="Calibri"/>
          <w:color w:val="222222"/>
        </w:rPr>
        <w:t>6. Perche il portafoglio ha funzionato e quando puo deludere</w:t>
      </w:r>
    </w:p>
    <w:p>
      <w:r>
        <w:rPr>
          <w:rFonts w:ascii="Calibri" w:hAnsi="Calibri"/>
          <w:color w:val="222222"/>
        </w:rPr>
        <w:t>7. Damodaran, GDI, TCE e DRO: ruoli separati</w:t>
      </w:r>
    </w:p>
    <w:p>
      <w:r>
        <w:rPr>
          <w:rFonts w:ascii="Calibri" w:hAnsi="Calibri"/>
          <w:color w:val="222222"/>
        </w:rPr>
        <w:t>8. Punti da migliorare e approfondire</w:t>
      </w:r>
    </w:p>
    <w:p>
      <w:r>
        <w:rPr>
          <w:rFonts w:ascii="Calibri" w:hAnsi="Calibri"/>
          <w:color w:val="222222"/>
        </w:rPr>
        <w:t>9. Roadmap di validazione</w:t>
      </w:r>
    </w:p>
    <w:p>
      <w:r>
        <w:rPr>
          <w:rFonts w:ascii="Calibri" w:hAnsi="Calibri"/>
          <w:color w:val="222222"/>
        </w:rPr>
        <w:t>Appendici: rendimenti annuali, parametri e fonti</w:t>
      </w:r>
    </w:p>
    <w:p>
      <w:pPr>
        <w:pStyle w:val="Heading1"/>
        <w:keepNext/>
      </w:pPr>
      <w:r>
        <w:t>1. Sintesi decisionale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F6D4A"/>
          <w:left w:val="single" w:sz="10" w:color="1F6D4A"/>
          <w:bottom w:val="single" w:sz="10" w:color="1F6D4A"/>
          <w:right w:val="single" w:sz="10" w:color="1F6D4A"/>
          <w:insideH w:val="single" w:sz="10" w:color="1F6D4A"/>
          <w:insideV w:val="single" w:sz="10" w:color="1F6D4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6D4A"/>
                <w:sz w:val="21"/>
              </w:rPr>
              <w:t xml:space="preserve">Decisione di ricerca. </w:t>
            </w:r>
            <w:r>
              <w:rPr>
                <w:rFonts w:ascii="Calibri" w:hAnsi="Calibri"/>
                <w:color w:val="222222"/>
                <w:sz w:val="21"/>
              </w:rPr>
              <w:t>Mantenere ERC Trend 15 come candidato strutturale primario: 28,09% World, 22,64% Momentum, 34,27% Quality e 15,00% Trend. Non finanziare automaticamente TCE o DRO riducendo queste percentuali.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Sul campione comune di 240 mesi il portafoglio a quattro sleeve ha prodotto un CAGR del 10,47% contro il 9,41% di World, con volatilita dell'11,25% contro 13,39% e drawdown massimo del -32,14% contro -48,21%.</w:t>
      </w:r>
    </w:p>
    <w:p>
      <w:r>
        <w:rPr>
          <w:rFonts w:ascii="Calibri" w:hAnsi="Calibri"/>
          <w:color w:val="222222"/>
        </w:rPr>
        <w:t>Negli ultimi dieci anni del campione il rendimento annualizzato e stato praticamente uguale a World, ma con rischio inferiore. La tesi non e quindi 'battere sempre SWDA': e ottenere un profilo piu equilibrato fra crescita, tenuta nei ribassi e futura sostenibilita dei prelievi.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Punto forte: protezione dei drawdown e migliore efficienza rendimento/volatilita.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Punto debole: maggiore complessita, costi, turnover e dipendenza dal proxy Trend.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Stato corretto: candidato da validare, non sostituzione automatica del portafoglio reale.</w:t>
      </w:r>
    </w:p>
    <w:p>
      <w:pPr>
        <w:pStyle w:val="Heading1"/>
        <w:keepNext/>
      </w:pPr>
      <w:r>
        <w:t>2. Mandato e gerarchia del sistema</w:t>
      </w:r>
    </w:p>
    <w:p>
      <w:r>
        <w:rPr>
          <w:rFonts w:ascii="Calibri" w:hAnsi="Calibri"/>
          <w:color w:val="222222"/>
        </w:rPr>
        <w:t>Il progetto nasce con un obiettivo piu ampio del semplice rendimento nominale: accrescere e poi preservare capitale reale in EUR, ridurre il sequence-of-returns risk, controllare fiscalita e costi, e rendere possibile una futura distribuzione sostenibile.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900"/>
        <w:gridCol w:w="51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Livello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Funzione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Stato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Portafoglio strutturale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100% World / Momentum / Quality / Trend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Candidato ERC Trend 15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Valuation engine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Damodaran ERP, Treasury e TIPS come lettura/veto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Da integrare senza cambiare i pesi fissi in modo discrezionale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GDI mensile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Regime monetario e possibile tilt Value/Growth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Osservativo e validativo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TCE news-based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Selezione tematica/fondamentale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Prospettico; backtest decennale non validato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DRO deterministico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Ranking di prezzo separato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Ricerca retrospettiva; supplemento opzionale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Rule E + Funding G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Distribuzione e waterfall fiscale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Shadow monitoring; non ancora integrato nel backtest four-sleeve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8A6400"/>
          <w:left w:val="single" w:sz="10" w:color="8A6400"/>
          <w:bottom w:val="single" w:sz="10" w:color="8A6400"/>
          <w:right w:val="single" w:sz="10" w:color="8A6400"/>
          <w:insideH w:val="single" w:sz="10" w:color="8A6400"/>
          <w:insideV w:val="single" w:sz="10" w:color="8A64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A6400"/>
                <w:sz w:val="21"/>
              </w:rPr>
              <w:t xml:space="preserve">Principio di governance. </w:t>
            </w:r>
            <w:r>
              <w:rPr>
                <w:rFonts w:ascii="Calibri" w:hAnsi="Calibri"/>
                <w:color w:val="222222"/>
                <w:sz w:val="21"/>
              </w:rPr>
              <w:t>Gli overlay non possono alterare o finanziare automaticamente il 100% strutturale. Un eventuale supplemento TCE/DRO, fino a circa il 10%, richiede una decisione distinta su nozionale e fonte di finanziamento.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3. Portafoglio strutturale a quattro sleeve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150"/>
        <w:gridCol w:w="850"/>
        <w:gridCol w:w="1100"/>
        <w:gridCol w:w="1750"/>
        <w:gridCol w:w="760"/>
        <w:gridCol w:w="375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Sleeve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Peso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ETF candidato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ISIN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TER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Ruolo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World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28,09%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SWDA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IE00B4L5Y983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0,20%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Core globale developed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Momentum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22,64%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IWMO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IE00BP3QZ825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0,25%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Premio ai titoli con forza relativa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Quality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34,27%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IWQU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IE00BP3QZ601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0,25%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Profitabilita/qualita e stabilita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Trend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15,00%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DBMFE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LU2951555403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0,75%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Managed futures e diversificazione di crisi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Il TER ponderato indicativo degli strumenti correnti e circa 0,31% annuo, contro 0,20% per SWDA. Questo costo ETF non e stato dedotto dal backtest a proxy: deve entrare nella validazione investibile.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SWDA, IWMO e IWQU sono ad accumulazione e quotati a Milano nella mappatura congelata al 27 agosto 2026.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DBMFE e ad accumulazione ma quotato a Parigi; negoziabilita Fineco, spread e trattamento operativo devono essere verificati prima dell'esecuzione.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 proxy storici non coincidono con gli ETF: Kenneth French BIG HiPR/HiOP e AQR TSMOM non sono backfill degli indici MSCI o di DBMFE.</w:t>
      </w:r>
    </w:p>
    <w:p>
      <w:pPr>
        <w:pStyle w:val="Heading2"/>
        <w:keepNext/>
      </w:pPr>
      <w:r>
        <w:t>3.1 Ruolo economico dei quattro elementi</w:t>
      </w:r>
    </w:p>
    <w:p>
      <w:r>
        <w:rPr>
          <w:rFonts w:ascii="Calibri" w:hAnsi="Calibri"/>
          <w:color w:val="222222"/>
        </w:rPr>
        <w:t>World mantiene l'esposizione al premio azionario globale e rende il portafoglio riconoscibile rispetto al benchmark. Momentum e Quality diversificano il modo in cui si selezionano i titoli, ma restano azionario developed e possono sovrapporsi al core. Trend e l'unico blocco con comportamento potenzialmente diverso nelle crisi: per questo il cap al 15% e una scelta di equilibrio, non un tentativo di massimizzare la protezione storica.</w:t>
      </w:r>
    </w:p>
    <w:p>
      <w:pPr>
        <w:pStyle w:val="Heading2"/>
        <w:keepNext/>
      </w:pPr>
      <w:r>
        <w:t>3.2 Regole congelate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Pesi iniziali fissi e somma sempre pari al 100%.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Ribilanciamento all'avvio e ogni gennaio; negli altri mesi i pesi possono derivare.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Valuta di analisi EUR; componente azionaria sostanzialmente non coperta dal rischio cambio.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Nessuna ottimizzazione dei pesi dopo l'ispezione dei risultati.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Commissione simulata EUR 19 per ordine di sleeve e 10 bps di spread/slippage.</w:t>
      </w:r>
    </w:p>
    <w:p>
      <w:pPr>
        <w:pStyle w:val="Heading1"/>
        <w:keepNext/>
      </w:pPr>
      <w:r>
        <w:t>4. Regole operative, costi e fiscalita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Voce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Portafoglio a quattro sleeve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SWDA soltanto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Ribilanciamento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Annuale a gennaio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Nessun ribilanciamento interno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Commissioni nel 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1.596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Spread/slippage nel 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3.183,52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800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TER corrente indicativo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circa 0,31% ponderato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0,20%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Fiscalita italiana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Realizzazioni annuali su piu ETF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Tax drag potenzialmente inferiore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Complessita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Quattro strumenti + verifica pesi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Un solo strumento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Lacuna after-tax. </w:t>
            </w:r>
            <w:r>
              <w:rPr>
                <w:rFonts w:ascii="Calibri" w:hAnsi="Calibri"/>
                <w:color w:val="222222"/>
                <w:sz w:val="21"/>
              </w:rPr>
              <w:t>Il confronto storico e dopo costi di trading simulati ma prima di TER reali, imposte e caratteristiche dei tax lots. Per un investitore italiano questo puo ridurre il vantaggio del portafoglio multi-ETF e deve essere quantificato.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La policy fiscale di progetto prevede il 26% sulle plusvalenze ETF realizzate e una vendita guidata dai lotti. Il trattamento agevolato al 12,5% riguarda titoli di Stato eleggibili, non le quattro sleeve attuali. La regola di funding G resta rilevante per i futuri prelievi, ma non e stata ancora collegata a questo backtest.</w:t>
      </w:r>
    </w:p>
    <w:p>
      <w:r>
        <w:br w:type="page"/>
      </w:r>
    </w:p>
    <w:p>
      <w:pPr>
        <w:pStyle w:val="Heading1"/>
        <w:keepNext/>
      </w:pPr>
      <w:r>
        <w:t>5. Confronto approfondito: SWDA vs portafoglio a quattro elementi</w:t>
      </w:r>
    </w:p>
    <w:p>
      <w:r>
        <w:rPr>
          <w:rFonts w:ascii="Calibri" w:hAnsi="Calibri"/>
          <w:color w:val="222222"/>
        </w:rPr>
        <w:t>Il benchmark della ricerca e World 100%, cioe il proxy economico di SWDA. Il confronto non usa l'ETF SWDA per tutti i venti anni, perche l'ETF non copre l'intero periodo: usa la serie Developed Market total return convertita in EUR.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title="Crescita del capitale" descr="Grafico della crescita di EUR 800.000 per World e ERC Trend 15 dal giugno 2006 al maggio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8"/>
        </w:rPr>
        <w:t>Figura 1 - Evoluzione del capitale simulato dopo costi di negoziazione.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600"/>
        <w:gridCol w:w="2000"/>
        <w:gridCol w:w="2000"/>
        <w:gridCol w:w="2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Metrica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SWDA / World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ERC Trend 15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Differenza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9,41%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10,47%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+1,06 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Volatilita annua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13,39%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11,25%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-2,14 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Max drawdown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-48,21%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-32,14%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+16,07 pp di tenuta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 / volatilita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0,741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0,944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+0,203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NAV finale da EUR 800.000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4,834 mln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5,859 mln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+EUR 1,024 mln</w:t>
            </w:r>
          </w:p>
        </w:tc>
      </w:tr>
    </w:tbl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2" name="Picture 2" title="Metriche di rendimento e rischio" descr="Confronto a barre di CAGR, volatilita e drawdown massimo per World e ERC Trend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8"/>
        </w:rPr>
        <w:t>Figura 2 - Il vantaggio storico piu netto e nella riduzione del rischio di coda.</w:t>
      </w:r>
    </w:p>
    <w:p>
      <w:pPr>
        <w:pStyle w:val="Heading2"/>
        <w:keepNext/>
      </w:pPr>
      <w:r>
        <w:t>5.1 Robustezza negli ultimi dieci anni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900"/>
        <w:gridCol w:w="1500"/>
        <w:gridCol w:w="1500"/>
        <w:gridCol w:w="3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Metrica 2016-06 / 2026-05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World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ERC Trend 15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Lettura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12,35%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12,34%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Rendimento equivalente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Volatilita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13,48%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11,18%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Rischio inferiore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Max drawdown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-20,45%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-13,42%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Perdita massima piu contenuta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Sulle finestre mobili decennali il candidato ERC Trend 15 ha battuto World nell'80,2% dei casi, con extra-rendimento mediano di +0,68 punti percentuali annui e peggiore extra-rendimento di -1,31 punti. Non ha pero vinto ogni anno: nei 19 anni solari completi 2007-2025 ha sovraperformato in 10.</w:t>
      </w:r>
    </w:p>
    <w:p>
      <w:pPr>
        <w:pStyle w:val="Heading2"/>
        <w:keepNext/>
      </w:pPr>
      <w:r>
        <w:t>5.2 Interpretazione corretta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 2008 World ha perso circa il 37,49%, ERC Trend 15 circa il 25,07%: la protezione nella grande crisi guida parte importante del risultato complessivo.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 rimbalzo 2009 ERC Trend 15 ha guadagnato meno di World: la diversificazione riduce sia alcune perdite sia parte dell'upside.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Nell'ultimo decennio l'extra-rendimento e scomparso, mentre il vantaggio di rischio e rimasto: la proposta e soprattutto di migliorare il percorso, non di promettere alpha stabile.</w:t>
      </w:r>
    </w:p>
    <w:p>
      <w:pPr>
        <w:pStyle w:val="Heading1"/>
        <w:keepNext/>
      </w:pPr>
      <w:r>
        <w:t>6. Perche il portafoglio ha funzionato e quando puo deludere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700"/>
        <w:gridCol w:w="3720"/>
        <w:gridCol w:w="39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Meccanismo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Beneficio atteso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Scenario sfavorevole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World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Crescita globale e semplicita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Bear market azionario globale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Momentum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Partecipa ai trend azionari persistenti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Reversal rapidi e rotazioni improvvise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Quality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Bilanci/profitti piu robusti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Fasi speculative o value rebound aggressivi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Trend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Diversificazione nelle crisi prolungate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Mercati laterali, whipsaw e costi elevati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Ribilanciamento annuale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Disciplina e turnover contenuto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Timing di gennaio sfavorevole o drift eccessivo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8A6400"/>
          <w:left w:val="single" w:sz="10" w:color="8A6400"/>
          <w:bottom w:val="single" w:sz="10" w:color="8A6400"/>
          <w:right w:val="single" w:sz="10" w:color="8A6400"/>
          <w:insideH w:val="single" w:sz="10" w:color="8A6400"/>
          <w:insideV w:val="single" w:sz="10" w:color="8A64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A6400"/>
                <w:sz w:val="21"/>
              </w:rPr>
              <w:t xml:space="preserve">Rischio di dipendenza episodica. </w:t>
            </w:r>
            <w:r>
              <w:rPr>
                <w:rFonts w:ascii="Calibri" w:hAnsi="Calibri"/>
                <w:color w:val="222222"/>
                <w:sz w:val="21"/>
              </w:rPr>
              <w:t>La configurazione ERC free con 37,37% Trend ha protetto molto nel 2008-2009 ma ha avuto una frequenza di vittoria decennale solo del 37,2%. Questo mostra che aumentare Trend per inseguire il miglior drawdown storico puo peggiorare la robustezza recente.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Damodaran, GDI, TCE e DRO: ruoli separati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300"/>
        <w:gridCol w:w="1100"/>
        <w:gridCol w:w="2800"/>
        <w:gridCol w:w="2300"/>
        <w:gridCol w:w="1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Modulo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Frequenza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Cosa misura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Uso consentito oggi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Problema aperto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Damodaran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ERP e convenienza azionaria vs risk-free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Lettura/veto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Non e ancora collegato ai pesi ERC annuali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GDI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 + pulse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Gold/SDR, excess money, repressione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Osservazione e validazione Value/Growth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Backtest della regola simmetrica non conclusivo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TCE news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 + eventi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Policy, ordini, earnings, valutazione, crowding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Shadow/prospettico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Punteggi storici PIT non ricostruibili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DRO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Ranking 12-1 e trend 10 mesi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Supplemento opzionale separato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Survivorship/proxy bias; non e TCE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Il GDI congelato combina 40% Gold/SDR, 35% Global Excess Money e 25% Financial Repression. E pensato per capire quando un tilt Value o Growth merita attenzione, non per riscrivere mensilmente i quattro pesi senza una validazione separata.</w:t>
      </w:r>
    </w:p>
    <w:p>
      <w:r>
        <w:rPr>
          <w:rFonts w:ascii="Calibri" w:hAnsi="Calibri"/>
          <w:color w:val="222222"/>
        </w:rPr>
        <w:t>Il DRO ha prodotto risultati retrospettivi molto forti dal 2020, ma utilizza un universo congelato nel 2026 e proxy condizionali. Non deve essere sommato al CAGR del portafoglio strutturale ne interpretato come prova del TCE originale basato sulle notizie.</w:t>
      </w:r>
    </w:p>
    <w:p>
      <w:r>
        <w:br w:type="page"/>
      </w:r>
    </w:p>
    <w:p>
      <w:pPr>
        <w:pStyle w:val="Heading1"/>
        <w:keepNext/>
      </w:pPr>
      <w:r>
        <w:t>8. Punti da migliorare e approfondire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800"/>
        <w:gridCol w:w="1900"/>
        <w:gridCol w:w="4500"/>
        <w:gridCol w:w="21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Priorita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Area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Lavoro richiesto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Perche conta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After-tax comparison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Ricostruire SWDA e four-sleeve con tax lots italiani, TER, commissioni e spread reali.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Decisione investibile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ETF-level validation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Usare ogni ETF solo dalla propria inception; nessun backfill artificiale.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Misura del tracking gap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Trend investibile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Verificare DBMFE/FOLOW, liquidita, spread, Fineco e differenza rispetto ad AQR TSMOM.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Affidabilita della sleeve chiave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Provenienza pesi ERC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Documentare finestra/covarianza che ha generato i coefficienti e testarli walk-forward.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Escludere look-ahead nei coefficienti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Ribilanciamento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Confrontare gennaio fisso con bande tax-aware e annualita mobile senza ottimizzazione ex post.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Ridurre tax drag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Overlap azionario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Misurare concentrazione per titolo/settore e correlazioni SWDA-IWMO-IWQU.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Capire la vera diversificazione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Perpetuity integration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Rifare bootstrap/Monte Carlo con le quattro sleeve, CPI italiano e Rule E+G.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Validare reddito e capitale reale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Regime overlays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Definire se Damodaran/GDI agiscono solo su overlay o su bande strutturali predefinite.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Evitare conflitti di governance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Prospective ledger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Congelare score GDI/TCE/DRO prima dei prezzi successivi.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Prova out-of-sample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Stress e sensitivita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Proxy alternativi, FX, inflazione, costi 5/10/20 bps e scenari di whipsaw Trend.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Robustezza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8.1 Parametri economici da riconciliare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Dato utente non ancora codificato. </w:t>
            </w:r>
            <w:r>
              <w:rPr>
                <w:rFonts w:ascii="Calibri" w:hAnsi="Calibri"/>
                <w:color w:val="222222"/>
                <w:sz w:val="21"/>
              </w:rPr>
              <w:t>La conversazione successiva ha qualificato sia la rata sia EUR 180.000 come importi lordi fiscali. La configurazione four_sleeve_v1 non contiene ancora natura, frequenza, timing o trattamento fiscale di questi flussi: non devono essere inseriti nei calcoli per supposizione.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Anche la policy E+G archiviata usa ancora EUR 1.800 netti/mese nella zona protetta. Prima dell'attivazione occorre una specifica unica che distingua con precisione lordo, netto, imposta sulle plusvalenze e fabbisogno di cassa.</w:t>
      </w:r>
    </w:p>
    <w:p>
      <w:pPr>
        <w:pStyle w:val="Heading2"/>
        <w:keepNext/>
      </w:pPr>
      <w:r>
        <w:t>8.2 Limiti statistici da tenere visibili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Il test e retrospettivo e basato sulle versioni correnti degli archivi, non su una storia di segnali pubblicati in tempo reale.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La finestra di venti anni contiene pochi grandi regimi indipendenti; il 2008 pesa molto sulla conclusione.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La frequenza di vittoria decennale non garantisce una finestra futura positiva; il peggiore excess CAGR osservato e -1,31% annuo.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Il proxy Trend e una serie di ricerca e non replica commissioni, execution, collateral e comportamento di DBMFE.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Un confronto veramente personale deve includere posizione fiscale, tax lots, orizzonte, contributi e prelievi reali.</w:t>
      </w:r>
    </w:p>
    <w:p>
      <w:pPr>
        <w:pStyle w:val="Heading1"/>
        <w:keepNext/>
      </w:pPr>
      <w:r>
        <w:t>9. Roadmap di validazione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Congelare in una specifica unica capitale, EUR 180.000 lordi, rata lorda fiscale, contribuzioni e data di attivazione dei prelievi.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Costruire il backtest ETF-level dalla data comune investibile e quantificare tracking gap rispetto ai proxy.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Eseguire confronto after-tax paired: SWDA vs ERC Trend 15 con gli stessi flussi e gli stessi shock.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Rifare Monte Carlo/block bootstrap del sistema perpetuo usando le quattro sleeve e Rule E+G, senza importare i risultati legacy 60/20/20.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Attivare un periodo shadow di 12-24 mesi con pesi congelati e registro prospettico di GDI/TCE/DRO.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Solo dopo, decidere transizione graduale, eventuali bande di ribilanciamento e dimensione dell'overlay opzionale.</w:t>
      </w:r>
    </w:p>
    <w:p>
      <w:pPr>
        <w:pStyle w:val="Heading2"/>
        <w:keepNext/>
      </w:pPr>
      <w:r>
        <w:t>9.1 Criterio decisionale finale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3000"/>
        <w:gridCol w:w="2300"/>
        <w:gridCol w:w="40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Se la priorita e...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Scelta piu coerente oggi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Motivo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Massima semplicita e minimo errore operativo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SWDA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Un ETF, TER inferiore, fiscalita e governance piu semplici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Riduzione del drawdown e percorso piu regolare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ERC Trend 15 in validazione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Vantaggio storico di rischio consistente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Rendita perpetua after-tax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Nessuna scelta definitiva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Serve integrazione four-sleeve + CPI + E+G + tax lots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Alpha tattico/tematico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Overlay separato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TCE/DRO non devono contaminare il benchmark strutturale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F6D4A"/>
          <w:left w:val="single" w:sz="10" w:color="1F6D4A"/>
          <w:bottom w:val="single" w:sz="10" w:color="1F6D4A"/>
          <w:right w:val="single" w:sz="10" w:color="1F6D4A"/>
          <w:insideH w:val="single" w:sz="10" w:color="1F6D4A"/>
          <w:insideV w:val="single" w:sz="10" w:color="1F6D4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6D4A"/>
                <w:sz w:val="21"/>
              </w:rPr>
              <w:t xml:space="preserve">Raccomandazione metodologica. </w:t>
            </w:r>
            <w:r>
              <w:rPr>
                <w:rFonts w:ascii="Calibri" w:hAnsi="Calibri"/>
                <w:color w:val="222222"/>
                <w:sz w:val="21"/>
              </w:rPr>
              <w:t>Usare SWDA come benchmark permanente e ERC Trend 15 come challenger. Il challenger viene promosso solo se mantiene il vantaggio dopo costi, fiscalita, ETF reali e verifica prospettica; non perche il backtest storico e migliore.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Appendice A - Rendimenti annuali</w:t>
      </w:r>
    </w:p>
    <w:p>
      <w:r>
        <w:rPr>
          <w:rFonts w:ascii="Calibri" w:hAnsi="Calibri"/>
          <w:color w:val="222222"/>
        </w:rPr>
        <w:t>Gli anni 2006 e 2026 sono parziali; il confronto dei 19 anni completi 2007-2025 mostra 10 anni di sovraperformance ERC Trend 15 e 9 di sottoperformance.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100"/>
        <w:gridCol w:w="2050"/>
        <w:gridCol w:w="2050"/>
        <w:gridCol w:w="2300"/>
        <w:gridCol w:w="1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Anno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SWDA / World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ERC Trend 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Differenza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Mesi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2006*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9,69%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8,25%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-1,44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7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2007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-0,55%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4,35%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+4,90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2008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-37,49%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-25,07%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+12,41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2009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27,89%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17,59%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-10,30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23,24%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23,67%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+0,44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-4,77%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-1,83%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+2,94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15,05%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11,86%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-3,19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23,15%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22,57%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-0,58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17,61%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21,10%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+3,49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11,05%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15,85%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+4,80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11,26%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6,11%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-5,15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9,10%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8,14%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-0,95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-5,11%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-2,47%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+2,63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2019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29,15%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27,79%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-1,36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7,71%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9,19%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+1,48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29,06%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23,99%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-5,08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-12,87%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-5,71%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+7,16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18,39%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15,64%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-2,75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24,91%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26,85%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+1,94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7,71%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3,00%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-4,71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2026*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11,17%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14,23%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+3,07 pp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5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Appendice B - Assunzioni congelate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Elemento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Assunzione / stato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Finestra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2006-06-30 / 2026-05-31, 240 mesi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Capitale simulato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800.000; scala di confronto, non valore corrente personale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Valuta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EUR, azionario unhedged; conversione mensile DEXUSEU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World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Kenneth French Developed Mkt-RF + RF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Momentum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Developed BIG HiPR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Quality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Developed BIG HiOP / Robust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Trend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AQR TSMOM aggregate + collateral RF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Costi trading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19 per ordine + 10 bps per gamba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TER e imposte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Non inclusi nel backtest proxy; da integrare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Rebalance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Inception + ogni gennaio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TCE/DRO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Separati; supplemento facoltativo, non finanziamento automatico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Appendice C - Fonti di progetto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outputs/four_sleeve_v1/validation_report.md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outputs/four_sleeve_v1/summary.csv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outputs/four_sleeve_v1/monthly_returns.csv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config/four_sleeve_v1.json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docs/superpowers/specs/2026-08-27-four-sleeve-tce-validation-v1.md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work/motor_docs/perpetual_engine_v3_3.txt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work/motor_docs/eg_policy_workbook_transcript.txt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outputs/tce_deterministic/2026-08-27.md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outputs/dro_v1/report.md</w:t>
      </w:r>
    </w:p>
    <w:p>
      <w:r>
        <w:rPr>
          <w:rFonts w:ascii="Calibri" w:hAnsi="Calibri"/>
          <w:color w:val="222222"/>
        </w:rPr>
        <w:t>Riferimenti ufficiali degli strumenti: Borsa Italiana per SWDA, IWMO e IWQU; iMGP/Euronext per DBMFE. Le caratteristiche prodotto sono quelle congelate nel report del 27 agosto 2026 e vanno ricontrollate al momento dell'esecuzione.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PORTAFOGLIO STRUTTURALE | ANALISI E VALIDAZIONE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Portafoglio strutturale a quattro ETF - confronto con SWDA</dc:title>
  <dc:subject>Caratteristiche, validazione, rischi e roadmap</dc:subject>
  <dc:creator>Perpetual Engine - report di ricerca</dc:creator>
  <cp:keywords>SWDA, ERC Trend 15, IWMO, IWQU, DBMFE, GDI, TCE, DRO</cp:keywords>
  <dc:description>Ricerca retrospettiva; non autorita di trading.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