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rFonts w:ascii="Calibri" w:hAnsi="Calibri"/>
          <w:b/>
          <w:i w:val="0"/>
          <w:sz w:val="52"/>
        </w:rPr>
        <w:t>MARCO CAVANI</w:t>
      </w:r>
    </w:p>
    <w:p>
      <w:pPr>
        <w:spacing w:before="0" w:after="120"/>
        <w:jc w:val="left"/>
      </w:pPr>
      <w:r>
        <w:rPr>
          <w:rFonts w:ascii="Calibri" w:hAnsi="Calibri"/>
          <w:b w:val="0"/>
          <w:i w:val="0"/>
          <w:color w:val="505050"/>
          <w:sz w:val="22"/>
        </w:rPr>
        <w:t>Information Security Consultant  ·  ITGC Auditor  ·  marcoweb.org</w:t>
      </w:r>
    </w:p>
    <w:p>
      <w:pPr>
        <w:spacing w:before="0" w:after="20"/>
        <w:jc w:val="left"/>
      </w:pPr>
      <w:r>
        <w:rPr>
          <w:rFonts w:ascii="Calibri" w:hAnsi="Calibri"/>
          <w:b/>
          <w:i w:val="0"/>
          <w:sz w:val="20"/>
        </w:rPr>
        <w:t xml:space="preserve">Location: </w:t>
      </w:r>
      <w:r>
        <w:rPr>
          <w:rFonts w:ascii="Calibri" w:hAnsi="Calibri"/>
          <w:b w:val="0"/>
          <w:i w:val="0"/>
          <w:sz w:val="20"/>
        </w:rPr>
        <w:t xml:space="preserve">Perth, WA     </w:t>
      </w:r>
      <w:r>
        <w:rPr>
          <w:rFonts w:ascii="Calibri" w:hAnsi="Calibri"/>
          <w:b/>
          <w:i w:val="0"/>
          <w:sz w:val="20"/>
        </w:rPr>
        <w:t xml:space="preserve">Mobile: </w:t>
      </w:r>
      <w:r>
        <w:rPr>
          <w:rFonts w:ascii="Calibri" w:hAnsi="Calibri"/>
          <w:b w:val="0"/>
          <w:i w:val="0"/>
          <w:sz w:val="20"/>
        </w:rPr>
        <w:t xml:space="preserve">0468 825 323     </w:t>
      </w:r>
      <w:r>
        <w:rPr>
          <w:rFonts w:ascii="Calibri" w:hAnsi="Calibri"/>
          <w:b/>
          <w:i w:val="0"/>
          <w:sz w:val="20"/>
        </w:rPr>
        <w:t xml:space="preserve">Email: </w:t>
      </w:r>
      <w:r>
        <w:rPr>
          <w:rFonts w:ascii="Calibri" w:hAnsi="Calibri"/>
          <w:b w:val="0"/>
          <w:i w:val="0"/>
          <w:sz w:val="20"/>
        </w:rPr>
        <w:t>cavaniaustralia@gmail.com</w:t>
      </w:r>
    </w:p>
    <w:p>
      <w:pPr>
        <w:spacing w:before="0" w:after="200"/>
        <w:jc w:val="left"/>
      </w:pPr>
      <w:r>
        <w:rPr>
          <w:rFonts w:ascii="Calibri" w:hAnsi="Calibri"/>
          <w:b/>
          <w:i w:val="0"/>
          <w:sz w:val="20"/>
        </w:rPr>
        <w:t xml:space="preserve">Website: </w:t>
      </w:r>
      <w:r>
        <w:rPr>
          <w:rFonts w:ascii="Calibri" w:hAnsi="Calibri"/>
          <w:b w:val="0"/>
          <w:i w:val="0"/>
          <w:sz w:val="20"/>
        </w:rPr>
        <w:t xml:space="preserve">marcoweb.org     </w:t>
      </w:r>
      <w:r>
        <w:rPr>
          <w:rFonts w:ascii="Calibri" w:hAnsi="Calibri"/>
          <w:b/>
          <w:i w:val="0"/>
          <w:sz w:val="20"/>
        </w:rPr>
        <w:t xml:space="preserve">LinkedIn: </w:t>
      </w:r>
      <w:r>
        <w:rPr>
          <w:rFonts w:ascii="Calibri" w:hAnsi="Calibri"/>
          <w:b w:val="0"/>
          <w:i w:val="0"/>
          <w:sz w:val="20"/>
        </w:rPr>
        <w:t>linkedin.com/in/marcocavani</w:t>
      </w:r>
    </w:p>
    <w:p>
      <w:pPr>
        <w:spacing w:before="0" w:after="120"/>
        <w:jc w:val="left"/>
        <w:pBdr>
          <w:bottom w:val="single" w:sz="6" w:space="1" w:color="333333"/>
        </w:pBdr>
      </w:pPr>
    </w:p>
    <w:p>
      <w:pPr>
        <w:spacing w:before="160" w:after="60"/>
        <w:jc w:val="left"/>
        <w:pBdr>
          <w:bottom w:val="single" w:sz="6" w:space="1" w:color="333333"/>
        </w:pBdr>
      </w:pPr>
      <w:r>
        <w:rPr>
          <w:rFonts w:ascii="Calibri" w:hAnsi="Calibri"/>
          <w:b/>
          <w:i w:val="0"/>
          <w:sz w:val="20"/>
        </w:rPr>
        <w:t>PROFESSIONAL SUMMARY</w:t>
      </w:r>
    </w:p>
    <w:p>
      <w:pPr>
        <w:spacing w:before="80" w:after="120"/>
        <w:jc w:val="left"/>
      </w:pPr>
      <w:r>
        <w:rPr>
          <w:rFonts w:ascii="Calibri" w:hAnsi="Calibri"/>
          <w:b w:val="0"/>
          <w:i w:val="0"/>
          <w:sz w:val="21"/>
        </w:rPr>
        <w:t>GRC and cybersecurity specialist with practical experience in IT General Controls (ITGC) auditing, cyber risk assessment, and compliance advisory delivered at RSM Australia across healthcare, government, mining, and education sectors. Holds a Bachelor of Science in Cybersecurity (ECU) and ACS Professional Year certification. Founded and built a commercial ITGC assessment SaaS platform (Vue.js / Supabase / Stripe) and authored a 38-control audit workbook aligned to SOX, APRA, and ISO 27001. Full-stack development background combined with enterprise IT support experience. Strong communicator with a track record of translating complex security concepts for technical and non-technical audiences.</w:t>
      </w:r>
    </w:p>
    <w:p>
      <w:pPr>
        <w:spacing w:before="160" w:after="60"/>
        <w:jc w:val="left"/>
        <w:pBdr>
          <w:bottom w:val="single" w:sz="6" w:space="1" w:color="333333"/>
        </w:pBdr>
      </w:pPr>
      <w:r>
        <w:rPr>
          <w:rFonts w:ascii="Calibri" w:hAnsi="Calibri"/>
          <w:b/>
          <w:i w:val="0"/>
          <w:sz w:val="20"/>
        </w:rPr>
        <w:t>PROFESSIONAL EXPERIENCE</w:t>
      </w:r>
    </w:p>
    <w:p>
      <w:pPr>
        <w:spacing w:before="80" w:after="20"/>
        <w:jc w:val="left"/>
      </w:pPr>
      <w:r>
        <w:rPr>
          <w:rFonts w:ascii="Calibri" w:hAnsi="Calibri"/>
          <w:b/>
          <w:i w:val="0"/>
          <w:sz w:val="23"/>
        </w:rPr>
        <w:t>Information Security Consultant</w:t>
      </w:r>
      <w:r>
        <w:rPr>
          <w:rFonts w:ascii="Calibri" w:hAnsi="Calibri"/>
          <w:b w:val="0"/>
          <w:i w:val="0"/>
          <w:sz w:val="21"/>
        </w:rPr>
        <w:t xml:space="preserve">   </w:t>
      </w:r>
      <w:r>
        <w:rPr>
          <w:rFonts w:ascii="Calibri" w:hAnsi="Calibri"/>
          <w:b w:val="0"/>
          <w:i/>
          <w:color w:val="646464"/>
          <w:sz w:val="20"/>
        </w:rPr>
        <w:t>Feb 2025 – Jun 2026</w:t>
      </w:r>
    </w:p>
    <w:p>
      <w:pPr>
        <w:spacing w:before="0" w:after="40"/>
        <w:jc w:val="left"/>
      </w:pPr>
      <w:r>
        <w:rPr>
          <w:rFonts w:ascii="Calibri" w:hAnsi="Calibri"/>
          <w:b w:val="0"/>
          <w:i/>
          <w:color w:val="505050"/>
          <w:sz w:val="20"/>
        </w:rPr>
        <w:t>RSM Australia  ·  Security &amp; Privacy Practice  ·  Perth, WA</w:t>
      </w:r>
    </w:p>
    <w:p>
      <w:pPr>
        <w:pStyle w:val="ListBullet"/>
        <w:spacing w:before="0" w:after="20"/>
        <w:ind w:left="360"/>
      </w:pPr>
      <w:r>
        <w:rPr>
          <w:rFonts w:ascii="Calibri" w:hAnsi="Calibri"/>
          <w:sz w:val="21"/>
        </w:rPr>
        <w:t>Performed ITGC and IT Application Control audits for clients in healthcare, government, mining, and education sectors</w:t>
      </w:r>
    </w:p>
    <w:p>
      <w:pPr>
        <w:pStyle w:val="ListBullet"/>
        <w:spacing w:before="0" w:after="20"/>
        <w:ind w:left="360"/>
      </w:pPr>
      <w:r>
        <w:rPr>
          <w:rFonts w:ascii="Calibri" w:hAnsi="Calibri"/>
          <w:sz w:val="21"/>
        </w:rPr>
        <w:t>Conducted IT risk assessments, cyber risk identification, vulnerability analysis, and remediation planning</w:t>
      </w:r>
    </w:p>
    <w:p>
      <w:pPr>
        <w:pStyle w:val="ListBullet"/>
        <w:spacing w:before="0" w:after="20"/>
        <w:ind w:left="360"/>
      </w:pPr>
      <w:r>
        <w:rPr>
          <w:rFonts w:ascii="Calibri" w:hAnsi="Calibri"/>
          <w:sz w:val="21"/>
        </w:rPr>
        <w:t>Developed and maintained information security policies, standards, and control frameworks aligned to regulatory requirements</w:t>
      </w:r>
    </w:p>
    <w:p>
      <w:pPr>
        <w:pStyle w:val="ListBullet"/>
        <w:spacing w:before="0" w:after="20"/>
        <w:ind w:left="360"/>
      </w:pPr>
      <w:r>
        <w:rPr>
          <w:rFonts w:ascii="Calibri" w:hAnsi="Calibri"/>
          <w:sz w:val="21"/>
        </w:rPr>
        <w:t>Analysed system logs, user access lists, and network datasets to identify control weaknesses and gaps</w:t>
      </w:r>
    </w:p>
    <w:p>
      <w:pPr>
        <w:pStyle w:val="ListBullet"/>
        <w:spacing w:before="0" w:after="20"/>
        <w:ind w:left="360"/>
      </w:pPr>
      <w:r>
        <w:rPr>
          <w:rFonts w:ascii="Calibri" w:hAnsi="Calibri"/>
          <w:sz w:val="21"/>
        </w:rPr>
        <w:t>Supported governance, compliance, audit, and third-party risk management processes</w:t>
      </w:r>
    </w:p>
    <w:p>
      <w:pPr>
        <w:pStyle w:val="ListBullet"/>
        <w:spacing w:before="0" w:after="20"/>
        <w:ind w:left="360"/>
      </w:pPr>
      <w:r>
        <w:rPr>
          <w:rFonts w:ascii="Calibri" w:hAnsi="Calibri"/>
          <w:sz w:val="21"/>
        </w:rPr>
        <w:t>Delivered cybersecurity awareness training to staff and executive stakeholders</w:t>
      </w:r>
    </w:p>
    <w:p>
      <w:pPr>
        <w:spacing w:before="80" w:after="20"/>
        <w:jc w:val="left"/>
      </w:pPr>
      <w:r>
        <w:rPr>
          <w:rFonts w:ascii="Calibri" w:hAnsi="Calibri"/>
          <w:b/>
          <w:i w:val="0"/>
          <w:sz w:val="23"/>
        </w:rPr>
        <w:t>Developer (Contractor)</w:t>
      </w:r>
      <w:r>
        <w:rPr>
          <w:rFonts w:ascii="Calibri" w:hAnsi="Calibri"/>
          <w:b w:val="0"/>
          <w:i w:val="0"/>
          <w:sz w:val="21"/>
        </w:rPr>
        <w:t xml:space="preserve">   </w:t>
      </w:r>
      <w:r>
        <w:rPr>
          <w:rFonts w:ascii="Calibri" w:hAnsi="Calibri"/>
          <w:b w:val="0"/>
          <w:i/>
          <w:color w:val="646464"/>
          <w:sz w:val="20"/>
        </w:rPr>
        <w:t>May 2021 – Jul 2023</w:t>
      </w:r>
    </w:p>
    <w:p>
      <w:pPr>
        <w:spacing w:before="0" w:after="40"/>
        <w:jc w:val="left"/>
      </w:pPr>
      <w:r>
        <w:rPr>
          <w:rFonts w:ascii="Calibri" w:hAnsi="Calibri"/>
          <w:b w:val="0"/>
          <w:i/>
          <w:color w:val="505050"/>
          <w:sz w:val="20"/>
        </w:rPr>
        <w:t>BlueSky Lab  ·  Perth, WA</w:t>
      </w:r>
    </w:p>
    <w:p>
      <w:pPr>
        <w:pStyle w:val="ListBullet"/>
        <w:spacing w:before="0" w:after="20"/>
        <w:ind w:left="360"/>
      </w:pPr>
      <w:r>
        <w:rPr>
          <w:rFonts w:ascii="Calibri" w:hAnsi="Calibri"/>
          <w:sz w:val="21"/>
        </w:rPr>
        <w:t>Built and maintained web applications using PHP and backend frameworks in a production environment</w:t>
      </w:r>
    </w:p>
    <w:p>
      <w:pPr>
        <w:pStyle w:val="ListBullet"/>
        <w:spacing w:before="0" w:after="20"/>
        <w:ind w:left="360"/>
      </w:pPr>
      <w:r>
        <w:rPr>
          <w:rFonts w:ascii="Calibri" w:hAnsi="Calibri"/>
          <w:sz w:val="21"/>
        </w:rPr>
        <w:t>Worked with databases, APIs, and system integrations; collaborated with QA teams on technical issue resolution</w:t>
      </w:r>
    </w:p>
    <w:p>
      <w:pPr>
        <w:pStyle w:val="ListBullet"/>
        <w:spacing w:before="0" w:after="20"/>
        <w:ind w:left="360"/>
      </w:pPr>
      <w:r>
        <w:rPr>
          <w:rFonts w:ascii="Calibri" w:hAnsi="Calibri"/>
          <w:sz w:val="21"/>
        </w:rPr>
        <w:t>Followed structured development workflows and documentation standards throughout the project lifecycle</w:t>
      </w:r>
    </w:p>
    <w:p>
      <w:pPr>
        <w:spacing w:before="80" w:after="20"/>
        <w:jc w:val="left"/>
      </w:pPr>
      <w:r>
        <w:rPr>
          <w:rFonts w:ascii="Calibri" w:hAnsi="Calibri"/>
          <w:b/>
          <w:i w:val="0"/>
          <w:sz w:val="23"/>
        </w:rPr>
        <w:t>Guest Service Coordinator — Technical Support Functions</w:t>
      </w:r>
      <w:r>
        <w:rPr>
          <w:rFonts w:ascii="Calibri" w:hAnsi="Calibri"/>
          <w:b w:val="0"/>
          <w:i w:val="0"/>
          <w:sz w:val="21"/>
        </w:rPr>
        <w:t xml:space="preserve">   </w:t>
      </w:r>
      <w:r>
        <w:rPr>
          <w:rFonts w:ascii="Calibri" w:hAnsi="Calibri"/>
          <w:b w:val="0"/>
          <w:i/>
          <w:color w:val="646464"/>
          <w:sz w:val="20"/>
        </w:rPr>
        <w:t>Oct 2018 – Feb 2025</w:t>
      </w:r>
    </w:p>
    <w:p>
      <w:pPr>
        <w:spacing w:before="0" w:after="40"/>
        <w:jc w:val="left"/>
      </w:pPr>
      <w:r>
        <w:rPr>
          <w:rFonts w:ascii="Calibri" w:hAnsi="Calibri"/>
          <w:b w:val="0"/>
          <w:i/>
          <w:color w:val="505050"/>
          <w:sz w:val="20"/>
        </w:rPr>
        <w:t>Crown Towers Perth  ·  Burswood, WA</w:t>
      </w:r>
    </w:p>
    <w:p>
      <w:pPr>
        <w:pStyle w:val="ListBullet"/>
        <w:spacing w:before="0" w:after="20"/>
        <w:ind w:left="360"/>
      </w:pPr>
      <w:r>
        <w:rPr>
          <w:rFonts w:ascii="Calibri" w:hAnsi="Calibri"/>
          <w:sz w:val="21"/>
        </w:rPr>
        <w:t>Managed service requests using property management and ITSM-style ticketing systems in a 24/7 environment</w:t>
      </w:r>
    </w:p>
    <w:p>
      <w:pPr>
        <w:pStyle w:val="ListBullet"/>
        <w:spacing w:before="0" w:after="20"/>
        <w:ind w:left="360"/>
      </w:pPr>
      <w:r>
        <w:rPr>
          <w:rFonts w:ascii="Calibri" w:hAnsi="Calibri"/>
          <w:sz w:val="21"/>
        </w:rPr>
        <w:t>Provided first-line technical support for in-room technology, Wi-Fi, and entertainment connectivity issues</w:t>
      </w:r>
    </w:p>
    <w:p>
      <w:pPr>
        <w:pStyle w:val="ListBullet"/>
        <w:spacing w:before="0" w:after="20"/>
        <w:ind w:left="360"/>
      </w:pPr>
      <w:r>
        <w:rPr>
          <w:rFonts w:ascii="Calibri" w:hAnsi="Calibri"/>
          <w:sz w:val="21"/>
        </w:rPr>
        <w:t>Coordinated with IT, maintenance, and operations teams for incident resolution and recurring issue identification</w:t>
      </w:r>
    </w:p>
    <w:p>
      <w:pPr>
        <w:pStyle w:val="ListBullet"/>
        <w:spacing w:before="0" w:after="20"/>
        <w:ind w:left="360"/>
      </w:pPr>
      <w:r>
        <w:rPr>
          <w:rFonts w:ascii="Calibri" w:hAnsi="Calibri"/>
          <w:sz w:val="21"/>
        </w:rPr>
        <w:t>Trained staff on ticketing systems, service workflows, and operational reporting procedures</w:t>
      </w:r>
    </w:p>
    <w:p>
      <w:pPr>
        <w:spacing w:before="80" w:after="20"/>
        <w:jc w:val="left"/>
      </w:pPr>
      <w:r>
        <w:rPr>
          <w:rFonts w:ascii="Calibri" w:hAnsi="Calibri"/>
          <w:b/>
          <w:i w:val="0"/>
          <w:sz w:val="23"/>
        </w:rPr>
        <w:t>ICT Systems Support Officer</w:t>
      </w:r>
      <w:r>
        <w:rPr>
          <w:rFonts w:ascii="Calibri" w:hAnsi="Calibri"/>
          <w:b w:val="0"/>
          <w:i w:val="0"/>
          <w:sz w:val="21"/>
        </w:rPr>
        <w:t xml:space="preserve">   </w:t>
      </w:r>
      <w:r>
        <w:rPr>
          <w:rFonts w:ascii="Calibri" w:hAnsi="Calibri"/>
          <w:b w:val="0"/>
          <w:i/>
          <w:color w:val="646464"/>
          <w:sz w:val="20"/>
        </w:rPr>
        <w:t>2016 – 2018</w:t>
      </w:r>
    </w:p>
    <w:p>
      <w:pPr>
        <w:spacing w:before="0" w:after="40"/>
        <w:jc w:val="left"/>
      </w:pPr>
      <w:r>
        <w:rPr>
          <w:rFonts w:ascii="Calibri" w:hAnsi="Calibri"/>
          <w:b w:val="0"/>
          <w:i/>
          <w:color w:val="505050"/>
          <w:sz w:val="20"/>
        </w:rPr>
        <w:t>I.T.I.S Enrico Fermi High School  ·  Italy</w:t>
      </w:r>
    </w:p>
    <w:p>
      <w:pPr>
        <w:pStyle w:val="ListBullet"/>
        <w:spacing w:before="0" w:after="20"/>
        <w:ind w:left="360"/>
      </w:pPr>
      <w:r>
        <w:rPr>
          <w:rFonts w:ascii="Calibri" w:hAnsi="Calibri"/>
          <w:sz w:val="21"/>
        </w:rPr>
        <w:t>Provided Level 1–2 help desk support; resolved hardware, software, and network issues using ticketing systems</w:t>
      </w:r>
    </w:p>
    <w:p>
      <w:pPr>
        <w:pStyle w:val="ListBullet"/>
        <w:spacing w:before="0" w:after="20"/>
        <w:ind w:left="360"/>
      </w:pPr>
      <w:r>
        <w:rPr>
          <w:rFonts w:ascii="Calibri" w:hAnsi="Calibri"/>
          <w:sz w:val="21"/>
        </w:rPr>
        <w:t>Applied cybersecurity best practices for system protection and supported end users with technical assistance</w:t>
      </w:r>
    </w:p>
    <w:p>
      <w:pPr>
        <w:spacing w:before="160" w:after="60"/>
        <w:jc w:val="left"/>
        <w:pBdr>
          <w:bottom w:val="single" w:sz="6" w:space="1" w:color="333333"/>
        </w:pBdr>
      </w:pPr>
      <w:r>
        <w:rPr>
          <w:rFonts w:ascii="Calibri" w:hAnsi="Calibri"/>
          <w:b/>
          <w:i w:val="0"/>
          <w:sz w:val="20"/>
        </w:rPr>
        <w:t>FOUNDER &amp; CONTENT CREATOR</w:t>
      </w:r>
    </w:p>
    <w:p>
      <w:pPr>
        <w:spacing w:before="80" w:after="20"/>
        <w:jc w:val="left"/>
      </w:pPr>
      <w:r>
        <w:rPr>
          <w:rFonts w:ascii="Calibri" w:hAnsi="Calibri"/>
          <w:b/>
          <w:i w:val="0"/>
          <w:sz w:val="23"/>
        </w:rPr>
        <w:t>Founder — RACM ITGC Platform</w:t>
      </w:r>
      <w:r>
        <w:rPr>
          <w:rFonts w:ascii="Calibri" w:hAnsi="Calibri"/>
          <w:b w:val="0"/>
          <w:i w:val="0"/>
          <w:sz w:val="21"/>
        </w:rPr>
        <w:t xml:space="preserve">   </w:t>
      </w:r>
      <w:r>
        <w:rPr>
          <w:rFonts w:ascii="Calibri" w:hAnsi="Calibri"/>
          <w:b w:val="0"/>
          <w:i/>
          <w:color w:val="646464"/>
          <w:sz w:val="20"/>
        </w:rPr>
        <w:t>2025 – Present</w:t>
      </w:r>
    </w:p>
    <w:p>
      <w:pPr>
        <w:spacing w:before="0" w:after="40"/>
        <w:jc w:val="left"/>
      </w:pPr>
      <w:r>
        <w:rPr>
          <w:rFonts w:ascii="Calibri" w:hAnsi="Calibri"/>
          <w:b w:val="0"/>
          <w:i/>
          <w:color w:val="505050"/>
          <w:sz w:val="20"/>
        </w:rPr>
        <w:t>marcoweb.org  ·  marcoweb-itgc-saas.netlify.app</w:t>
      </w:r>
    </w:p>
    <w:p>
      <w:pPr>
        <w:pStyle w:val="ListBullet"/>
        <w:spacing w:before="0" w:after="20"/>
        <w:ind w:left="360"/>
      </w:pPr>
      <w:r>
        <w:rPr>
          <w:rFonts w:ascii="Calibri" w:hAnsi="Calibri"/>
          <w:sz w:val="21"/>
        </w:rPr>
        <w:t>Built and launched a commercial SaaS platform for ITGC assessment and audit management (Vue.js, Supabase, Stripe)</w:t>
      </w:r>
    </w:p>
    <w:p>
      <w:pPr>
        <w:pStyle w:val="ListBullet"/>
        <w:spacing w:before="0" w:after="20"/>
        <w:ind w:left="360"/>
      </w:pPr>
      <w:r>
        <w:rPr>
          <w:rFonts w:ascii="Calibri" w:hAnsi="Calibri"/>
          <w:sz w:val="21"/>
        </w:rPr>
        <w:t>Developed the ITGC Audit Workbook — a 30-tab Excel template covering all 38 controls aligned to SOX, APRA, and ISO 27001</w:t>
      </w:r>
    </w:p>
    <w:p>
      <w:pPr>
        <w:pStyle w:val="ListBullet"/>
        <w:spacing w:before="0" w:after="20"/>
        <w:ind w:left="360"/>
      </w:pPr>
      <w:r>
        <w:rPr>
          <w:rFonts w:ascii="Calibri" w:hAnsi="Calibri"/>
          <w:sz w:val="21"/>
        </w:rPr>
        <w:t>Published 50+ technical articles and breach analysis reports on IT audit, cybersecurity, and compliance</w:t>
      </w:r>
    </w:p>
    <w:p>
      <w:pPr>
        <w:spacing w:before="160" w:after="60"/>
        <w:jc w:val="left"/>
        <w:pBdr>
          <w:bottom w:val="single" w:sz="6" w:space="1" w:color="333333"/>
        </w:pBdr>
      </w:pPr>
      <w:r>
        <w:rPr>
          <w:rFonts w:ascii="Calibri" w:hAnsi="Calibri"/>
          <w:b/>
          <w:i w:val="0"/>
          <w:sz w:val="20"/>
        </w:rPr>
        <w:t>CORE COMPETENCIES</w:t>
      </w:r>
    </w:p>
    <w:p>
      <w:pPr>
        <w:pStyle w:val="ListBullet"/>
        <w:spacing w:before="0" w:after="20"/>
        <w:ind w:left="360"/>
      </w:pPr>
      <w:r>
        <w:rPr>
          <w:rFonts w:ascii="Calibri" w:hAnsi="Calibri"/>
          <w:sz w:val="21"/>
        </w:rPr>
        <w:t>IT General Controls (ITGC) &amp; Systems Auditing</w:t>
      </w:r>
    </w:p>
    <w:p>
      <w:pPr>
        <w:pStyle w:val="ListBullet"/>
        <w:spacing w:before="0" w:after="20"/>
        <w:ind w:left="360"/>
      </w:pPr>
      <w:r>
        <w:rPr>
          <w:rFonts w:ascii="Calibri" w:hAnsi="Calibri"/>
          <w:sz w:val="21"/>
        </w:rPr>
        <w:t>Governance, Risk &amp; Compliance (GRC)</w:t>
      </w:r>
    </w:p>
    <w:p>
      <w:pPr>
        <w:pStyle w:val="ListBullet"/>
        <w:spacing w:before="0" w:after="20"/>
        <w:ind w:left="360"/>
      </w:pPr>
      <w:r>
        <w:rPr>
          <w:rFonts w:ascii="Calibri" w:hAnsi="Calibri"/>
          <w:sz w:val="21"/>
        </w:rPr>
        <w:t>Identity &amp; Access Management (IAM)</w:t>
      </w:r>
    </w:p>
    <w:p>
      <w:pPr>
        <w:pStyle w:val="ListBullet"/>
        <w:spacing w:before="0" w:after="20"/>
        <w:ind w:left="360"/>
      </w:pPr>
      <w:r>
        <w:rPr>
          <w:rFonts w:ascii="Calibri" w:hAnsi="Calibri"/>
          <w:sz w:val="21"/>
        </w:rPr>
        <w:t>SOX / APRA / ISO 27001 Frameworks</w:t>
      </w:r>
    </w:p>
    <w:p>
      <w:pPr>
        <w:pStyle w:val="ListBullet"/>
        <w:spacing w:before="0" w:after="20"/>
        <w:ind w:left="360"/>
      </w:pPr>
      <w:r>
        <w:rPr>
          <w:rFonts w:ascii="Calibri" w:hAnsi="Calibri"/>
          <w:sz w:val="21"/>
        </w:rPr>
        <w:t>Vulnerability Assessment &amp; Penetration Testing</w:t>
      </w:r>
    </w:p>
    <w:p>
      <w:pPr>
        <w:pStyle w:val="ListBullet"/>
        <w:spacing w:before="0" w:after="20"/>
        <w:ind w:left="360"/>
      </w:pPr>
      <w:r>
        <w:rPr>
          <w:rFonts w:ascii="Calibri" w:hAnsi="Calibri"/>
          <w:sz w:val="21"/>
        </w:rPr>
        <w:t>Cybersecurity Risk Assessment &amp; Reporting</w:t>
      </w:r>
    </w:p>
    <w:p>
      <w:pPr>
        <w:pStyle w:val="ListBullet"/>
        <w:spacing w:before="0" w:after="20"/>
        <w:ind w:left="360"/>
      </w:pPr>
      <w:r>
        <w:rPr>
          <w:rFonts w:ascii="Calibri" w:hAnsi="Calibri"/>
          <w:sz w:val="21"/>
        </w:rPr>
        <w:t>Full-Stack Web Development (PHP, JavaScript, Vue.js)</w:t>
      </w:r>
    </w:p>
    <w:p>
      <w:pPr>
        <w:pStyle w:val="ListBullet"/>
        <w:spacing w:before="0" w:after="20"/>
        <w:ind w:left="360"/>
      </w:pPr>
      <w:r>
        <w:rPr>
          <w:rFonts w:ascii="Calibri" w:hAnsi="Calibri"/>
          <w:sz w:val="21"/>
        </w:rPr>
        <w:t>Microsoft 365 &amp; Azure Virtual Machines</w:t>
      </w:r>
    </w:p>
    <w:p>
      <w:pPr>
        <w:pStyle w:val="ListBullet"/>
        <w:spacing w:before="0" w:after="20"/>
        <w:ind w:left="360"/>
      </w:pPr>
      <w:r>
        <w:rPr>
          <w:rFonts w:ascii="Calibri" w:hAnsi="Calibri"/>
          <w:sz w:val="21"/>
        </w:rPr>
        <w:t>ITSM / Service Desk Operations (L1–L2)</w:t>
      </w:r>
    </w:p>
    <w:p>
      <w:pPr>
        <w:pStyle w:val="ListBullet"/>
        <w:spacing w:before="0" w:after="20"/>
        <w:ind w:left="360"/>
      </w:pPr>
      <w:r>
        <w:rPr>
          <w:rFonts w:ascii="Calibri" w:hAnsi="Calibri"/>
          <w:sz w:val="21"/>
        </w:rPr>
        <w:t>Technical Communication &amp; Stakeholder Engagement</w:t>
      </w:r>
    </w:p>
    <w:p>
      <w:pPr>
        <w:spacing w:before="160" w:after="60"/>
        <w:jc w:val="left"/>
        <w:pBdr>
          <w:bottom w:val="single" w:sz="6" w:space="1" w:color="333333"/>
        </w:pBdr>
      </w:pPr>
      <w:r>
        <w:rPr>
          <w:rFonts w:ascii="Calibri" w:hAnsi="Calibri"/>
          <w:b/>
          <w:i w:val="0"/>
          <w:sz w:val="20"/>
        </w:rPr>
        <w:t>EDUCATION</w:t>
      </w:r>
    </w:p>
    <w:p>
      <w:pPr>
        <w:spacing w:before="60" w:after="20"/>
        <w:jc w:val="left"/>
      </w:pPr>
      <w:r>
        <w:rPr>
          <w:rFonts w:ascii="Calibri" w:hAnsi="Calibri"/>
          <w:b/>
          <w:i w:val="0"/>
          <w:sz w:val="22"/>
        </w:rPr>
        <w:t>ACS Professional Year in IT</w:t>
      </w:r>
      <w:r>
        <w:rPr>
          <w:rFonts w:ascii="Calibri" w:hAnsi="Calibri"/>
          <w:b w:val="0"/>
          <w:i w:val="0"/>
          <w:sz w:val="20"/>
        </w:rPr>
        <w:t xml:space="preserve">   </w:t>
      </w:r>
      <w:r>
        <w:rPr>
          <w:rFonts w:ascii="Calibri" w:hAnsi="Calibri"/>
          <w:b w:val="0"/>
          <w:i/>
          <w:color w:val="646464"/>
          <w:sz w:val="20"/>
        </w:rPr>
        <w:t>Jun 2024 – Jun 2025</w:t>
      </w:r>
    </w:p>
    <w:p>
      <w:pPr>
        <w:spacing w:before="0" w:after="60"/>
        <w:jc w:val="left"/>
      </w:pPr>
      <w:r>
        <w:rPr>
          <w:rFonts w:ascii="Calibri" w:hAnsi="Calibri"/>
          <w:b w:val="0"/>
          <w:i/>
          <w:color w:val="505050"/>
          <w:sz w:val="20"/>
        </w:rPr>
        <w:t>National Institute of Technology  ·  Perth, WA</w:t>
      </w:r>
    </w:p>
    <w:p>
      <w:pPr>
        <w:spacing w:before="60" w:after="20"/>
        <w:jc w:val="left"/>
      </w:pPr>
      <w:r>
        <w:rPr>
          <w:rFonts w:ascii="Calibri" w:hAnsi="Calibri"/>
          <w:b/>
          <w:i w:val="0"/>
          <w:sz w:val="22"/>
        </w:rPr>
        <w:t>Bachelor of Science (Cybersecurity)</w:t>
      </w:r>
      <w:r>
        <w:rPr>
          <w:rFonts w:ascii="Calibri" w:hAnsi="Calibri"/>
          <w:b w:val="0"/>
          <w:i w:val="0"/>
          <w:sz w:val="20"/>
        </w:rPr>
        <w:t xml:space="preserve">   </w:t>
      </w:r>
      <w:r>
        <w:rPr>
          <w:rFonts w:ascii="Calibri" w:hAnsi="Calibri"/>
          <w:b w:val="0"/>
          <w:i/>
          <w:color w:val="646464"/>
          <w:sz w:val="20"/>
        </w:rPr>
        <w:t>Feb 2022 – Dec 2023</w:t>
      </w:r>
    </w:p>
    <w:p>
      <w:pPr>
        <w:spacing w:before="0" w:after="60"/>
        <w:jc w:val="left"/>
      </w:pPr>
      <w:r>
        <w:rPr>
          <w:rFonts w:ascii="Calibri" w:hAnsi="Calibri"/>
          <w:b w:val="0"/>
          <w:i/>
          <w:color w:val="505050"/>
          <w:sz w:val="20"/>
        </w:rPr>
        <w:t>Edith Cowan University (ECU)  ·  Joondalup, WA</w:t>
      </w:r>
    </w:p>
    <w:p>
      <w:pPr>
        <w:spacing w:before="60" w:after="20"/>
        <w:jc w:val="left"/>
      </w:pPr>
      <w:r>
        <w:rPr>
          <w:rFonts w:ascii="Calibri" w:hAnsi="Calibri"/>
          <w:b/>
          <w:i w:val="0"/>
          <w:sz w:val="22"/>
        </w:rPr>
        <w:t>Diploma of Web Development</w:t>
      </w:r>
      <w:r>
        <w:rPr>
          <w:rFonts w:ascii="Calibri" w:hAnsi="Calibri"/>
          <w:b w:val="0"/>
          <w:i w:val="0"/>
          <w:sz w:val="20"/>
        </w:rPr>
        <w:t xml:space="preserve">   </w:t>
      </w:r>
      <w:r>
        <w:rPr>
          <w:rFonts w:ascii="Calibri" w:hAnsi="Calibri"/>
          <w:b w:val="0"/>
          <w:i/>
          <w:color w:val="646464"/>
          <w:sz w:val="20"/>
        </w:rPr>
        <w:t>Feb 2020 – Dec 2021</w:t>
      </w:r>
    </w:p>
    <w:p>
      <w:pPr>
        <w:spacing w:before="0" w:after="60"/>
        <w:jc w:val="left"/>
      </w:pPr>
      <w:r>
        <w:rPr>
          <w:rFonts w:ascii="Calibri" w:hAnsi="Calibri"/>
          <w:b w:val="0"/>
          <w:i/>
          <w:color w:val="505050"/>
          <w:sz w:val="20"/>
        </w:rPr>
        <w:t>North Metropolitan TAFE  ·  Perth, WA</w:t>
      </w:r>
    </w:p>
    <w:p>
      <w:pPr>
        <w:spacing w:before="60" w:after="20"/>
        <w:jc w:val="left"/>
      </w:pPr>
      <w:r>
        <w:rPr>
          <w:rFonts w:ascii="Calibri" w:hAnsi="Calibri"/>
          <w:b/>
          <w:i w:val="0"/>
          <w:sz w:val="22"/>
        </w:rPr>
        <w:t>Diploma in Information Technology</w:t>
      </w:r>
      <w:r>
        <w:rPr>
          <w:rFonts w:ascii="Calibri" w:hAnsi="Calibri"/>
          <w:b w:val="0"/>
          <w:i w:val="0"/>
          <w:sz w:val="20"/>
        </w:rPr>
        <w:t xml:space="preserve">   </w:t>
      </w:r>
      <w:r>
        <w:rPr>
          <w:rFonts w:ascii="Calibri" w:hAnsi="Calibri"/>
          <w:b w:val="0"/>
          <w:i/>
          <w:color w:val="646464"/>
          <w:sz w:val="20"/>
        </w:rPr>
        <w:t>2014 – 2018</w:t>
      </w:r>
    </w:p>
    <w:p>
      <w:pPr>
        <w:spacing w:before="0" w:after="60"/>
        <w:jc w:val="left"/>
      </w:pPr>
      <w:r>
        <w:rPr>
          <w:rFonts w:ascii="Calibri" w:hAnsi="Calibri"/>
          <w:b w:val="0"/>
          <w:i/>
          <w:color w:val="505050"/>
          <w:sz w:val="20"/>
        </w:rPr>
        <w:t>I.T.C Institute  ·  Italy</w:t>
      </w:r>
    </w:p>
    <w:p>
      <w:pPr>
        <w:spacing w:before="160" w:after="60"/>
        <w:jc w:val="left"/>
        <w:pBdr>
          <w:bottom w:val="single" w:sz="6" w:space="1" w:color="333333"/>
        </w:pBdr>
      </w:pPr>
      <w:r>
        <w:rPr>
          <w:rFonts w:ascii="Calibri" w:hAnsi="Calibri"/>
          <w:b/>
          <w:i w:val="0"/>
          <w:sz w:val="20"/>
        </w:rPr>
        <w:t>CERTIFICATIONS &amp; TRAINING</w:t>
      </w:r>
    </w:p>
    <w:p>
      <w:pPr>
        <w:spacing w:before="80" w:after="20"/>
        <w:jc w:val="left"/>
      </w:pPr>
      <w:r>
        <w:rPr>
          <w:rFonts w:ascii="Calibri" w:hAnsi="Calibri"/>
          <w:b/>
          <w:i w:val="0"/>
          <w:sz w:val="21"/>
        </w:rPr>
        <w:t>ISACA — Certified Information Systems Auditor (CISA) Curriculum</w:t>
      </w:r>
    </w:p>
    <w:p>
      <w:pPr>
        <w:spacing w:before="0" w:after="100"/>
        <w:jc w:val="left"/>
      </w:pPr>
      <w:r>
        <w:rPr>
          <w:rFonts w:ascii="Calibri" w:hAnsi="Calibri"/>
          <w:b w:val="0"/>
          <w:i w:val="0"/>
          <w:color w:val="3C3C3C"/>
          <w:sz w:val="20"/>
        </w:rPr>
        <w:t>Auditing, Data Analysis &amp; Controls  ·  Business Continuity  ·  Continuous Monitoring  ·  Data Privacy  ·  Digital Evidence Gathering  ·  IAM &amp; Data Classification  ·  IT Management Frameworks, Regulations &amp; Standards  ·  IT Resources &amp; Monitoring  ·  Information Systems Management  ·  Projects, Development &amp; Testing  ·  Protecting Digital &amp; Information Assets  ·  Securing Networks &amp; IT Assets  ·  System Development &amp; Vulnerability Testing  ·  Auditing Scenarios</w:t>
      </w:r>
    </w:p>
    <w:p>
      <w:pPr>
        <w:spacing w:before="40" w:after="20"/>
        <w:jc w:val="left"/>
      </w:pPr>
      <w:r>
        <w:rPr>
          <w:rFonts w:ascii="Calibri" w:hAnsi="Calibri"/>
          <w:b/>
          <w:i w:val="0"/>
          <w:sz w:val="21"/>
        </w:rPr>
        <w:t>CompTIA — PenTest+ &amp; Cybersecurity Analyst (CySA+) Curriculum</w:t>
      </w:r>
    </w:p>
    <w:p>
      <w:pPr>
        <w:spacing w:before="0" w:after="100"/>
        <w:jc w:val="left"/>
      </w:pPr>
      <w:r>
        <w:rPr>
          <w:rFonts w:ascii="Calibri" w:hAnsi="Calibri"/>
          <w:b w:val="0"/>
          <w:i w:val="0"/>
          <w:color w:val="3C3C3C"/>
          <w:sz w:val="20"/>
        </w:rPr>
        <w:t>Passive &amp; Active Reconnaissance  ·  Application-based Attacks  ·  Attacks on Cloud &amp; Specialized Systems  ·  Network Attacks &amp; Exploits  ·  Post-Exploitation Techniques  ·  Social Engineering Attacks  ·  Vulnerability Scanning  ·  Wireless Attacks  ·  Network Scanning &amp; Traffic Analysis  ·  Threat Monitoring  ·  Threat Intelligence &amp; Attribution</w:t>
      </w:r>
    </w:p>
    <w:p>
      <w:pPr>
        <w:spacing w:before="0" w:after="0"/>
        <w:jc w:val="left"/>
      </w:pPr>
      <w:r>
        <w:rPr>
          <w:rFonts w:ascii="Calibri" w:hAnsi="Calibri"/>
          <w:b w:val="0"/>
          <w:i/>
          <w:color w:val="646464"/>
          <w:sz w:val="20"/>
        </w:rPr>
        <w:t>In Progress: CompTIA Security+  ·  Verified via Skillsoft Digital Badges Wallet</w:t>
      </w:r>
    </w:p>
    <w:sectPr w:rsidR="00FC693F" w:rsidRPr="0006063C" w:rsidSect="000346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